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rPr>
          <w:rFonts w:eastAsia="Times New Roman"/>
        </w:rPr>
        <w:t>WAGF reduces hallucination rate from 20.84% to 0.58??.80% in ungoverned LLM agents while preserving genuine behavioral diversity</w:t>
      </w:r>
      <w:r w:rsidR="00000000">
        <w:t>28.1%</w:t>
      </w:r>
      <w:r>
        <w:rPr>
          <w:rFonts w:eastAsia="Times New Roman"/>
        </w:rPr>
      </w:r>
      <w:r w:rsidR="00000000">
        <w:t>1.0%</w:t>
      </w:r>
      <w:r>
        <w:rPr>
          <w:rFonts w:eastAsia="Times New Roman"/>
        </w:rPr>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produce physically impossible decisions, 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H_norm * (1 - R_H),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However, without oversight, these agents make impossible choices, 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n_total          (1)</w:t>
      </w:r>
    </w:p>
    <w:p w14:paraId="51E4AFA6" w14:textId="77777777" w:rsidR="00F803C3" w:rsidRDefault="00000000">
      <w:pPr>
        <w:spacing w:after="120" w:line="480" w:lineRule="auto"/>
        <w:jc w:val="both"/>
      </w:pPr>
      <w:r>
        <w:t>R_R = n_think / n_total          (2)</w:t>
      </w:r>
    </w:p>
    <w:p w14:paraId="4D3349D9" w14:textId="77777777" w:rsidR="00F803C3" w:rsidRDefault="00000000">
      <w:pPr>
        <w:spacing w:before="120" w:after="120" w:line="480" w:lineRule="auto"/>
        <w:jc w:val="center"/>
      </w:pPr>
      <w:r>
        <w: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w:t>
      </w:r>
    </w:p>
    <w:p w14:paraId="1588D2D4" w14:textId="77777777" w:rsidR="00F803C3" w:rsidRDefault="1937EF80">
      <w:pPr>
        <w:spacing w:after="120" w:line="480" w:lineRule="auto"/>
        <w:ind w:firstLine="360"/>
        <w:jc w:val="both"/>
      </w:pPr>
      <w:r>
        <w: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2??0.</w:t>
      </w:r>
      <w:r w:rsidR="1937EF80">
        <w:rPr>
          <w:i/>
          <w:sz w:val="20"/>
        </w:rPr>
      </w:r>
      <w:r w:rsidR="1937EF80">
        <w:rPr>
          <w:i/>
          <w:sz w:val="20"/>
        </w:rPr>
        <w:t>N = 898, 727, and 743 decisions for Groups A, B, and C respectively</w:t>
      </w:r>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p>
    <w:p w:rsidR="BE341ECD" w:rsidRDefault="BE341ECD" w:rsidP="BE341ECD" w14:paraId="57ECC17F" w14:textId="218EF834">
      <w:pPr>
        <w:spacing w:after="120" w:line="480" w:lineRule="auto"/>
        <w:ind w:firstLine="360"/>
        <w:jc w:val="both"/>
        <w:rPr/>
      </w:pPr>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r w:rsidR="BE341ECD">
        <w:t xml:space="preserve">In current production traces (78 agents, years 1–27), governance outcomes remain active throughout multi-decadal simulation: 58.9% of agent-year decisions are approved on first attempt, 19.5% succeed after retry-mediated correction, and 40.4%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t>
      </w:r>
    </w:p>
    <w:p w:rsidR="BE341ECD" w:rsidRDefault="BE341ECD" w:rsidP="BE341ECD" w14:paraId="0FD43808" w14:textId="47E802C6">
      <w:pPr>
        <w:spacing w:after="120" w:line="480" w:lineRule="auto"/>
        <w:ind w:firstLine="360"/>
        <w:jc w:val="both"/>
        <w:rPr/>
      </w:pPr>
      <w:r w:rsidR="BE341ECD">
        <w:t xml:space="preserve">Rule-frequency diagnostics reveal that intervention burden concentrates on hydrologically meaningful constraints. The most frequently triggered rule is demand_ceiling_stabilizer (n=923), followed by high_threat_high_cope_no_increase (n=701) and curtailment_awareness_check (n=177),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approved-action diversity remains substantial: normalized entropy over five actions yields H_norm = 0.74, supporting the claim that WAGF constrains implausible behaviors without collapsing the behavioral repertoire.</w:t>
      </w:r>
    </w:p>
    <w:p w:rsidR="BE341ECD" w:rsidRDefault="BE341ECD" w:rsidP="BE341ECD" w14:paraId="2A00E618" w14:textId="02C3F51C">
      <w:pPr>
        <w:spacing w:after="120" w:line="480" w:lineRule="auto"/>
        <w:ind w:firstLine="360"/>
        <w:jc w:val="both"/>
        <w:rPr/>
      </w:pPr>
      <w:r w:rsidR="BE341ECD">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w:t>
      </w:r>
    </w:p>
    <w:p w14:paraId="0051CFE8" w14:textId="77777777" w:rsidR="CF7DCF98" w:rsidRDefault="CF7DCF98" w:rsidP="CF7DCF98">
      <w:pPr>
        <w:spacing w:after="120" w:line="480" w:lineRule="auto"/>
        <w:ind w:firstLine="360"/>
        <w:jc w:val="both"/>
      </w:pPr>
    </w:p>
    <w:p w14:paraId="5DA1A643" w14:textId="77777777" w:rsidR="CF7DCF98" w:rsidRDefault="CF7DCF98" w:rsidP="CF7DCF98">
      <w:pPr>
        <w:spacing w:after="120" w:line="480" w:lineRule="auto"/>
        <w:ind w:firstLine="360"/>
        <w:jc w:val="both"/>
      </w:pP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r w:rsidR="CB5E44CF">
        <w:rPr>
          <w:rFonts w:eastAsia="Times New Roman"/>
          <w:i/>
          <w:iCs/>
          <w:color w:val="CC0000"/>
        </w:rPr>
        <w:t>[FIGURE 4: Irrigation transfer diagnostics from production traces. (a) Governance outcome proportions by year (Approved, Retry-success, Rejected), (b) Top rule-trigger frequencies, (c) Approved action composition with normalized entropy. 78 CRSS districts, production traces v19-v20.]</w:t>
      </w:r>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r w:rsidR="E8F849E9">
        <w: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middleware for LLM-driven agent-based modeling of human-water systems, together with a feasibility-adjusted diversity metric (EBE). Across two domains, three conclusions are supported by the reported experiments.</w:t>
      </w:r>
    </w:p>
    <w:p w14:paraId="5FDBF738" w14:textId="77777777" w:rsidR="00F803C3" w:rsidRDefault="1937EF80">
      <w:pPr>
        <w:spacing w:after="120" w:line="480" w:lineRule="auto"/>
        <w:ind w:firstLine="360"/>
        <w:jc w:val="both"/>
      </w:pPr>
      <w:r>
        <w:t>First, infeasible proposal generation is a systematic risk in ungoverned settings. In the flood case, ungoverned agents show R_H = 20.84%, indicating persistent identity/feasibility violations that are not removed by fluent text generation alone.</w:t>
      </w:r>
    </w:p>
    <w:p w14:paraId="14A813A3" w14:textId="77777777" w:rsidR="259F63AB" w:rsidRDefault="259F63AB" w:rsidP="259F63AB">
      <w:pPr>
        <w:spacing w:after="120" w:line="480" w:lineRule="auto"/>
        <w:ind w:firstLine="360"/>
        <w:jc w:val="both"/>
        <w:rPr/>
      </w:pPr>
      <w:r>
        <w:t>Second, governance improves effective diversity by reducing infeasible proposal mass rather than collapsing behavior. Governed groups show higher EBE than the ungoverned baseline and substantially higher cumulative relocation, consistent with a larger share of behavior occurring inside feasible action space.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sectPr w:rsidR="00F803C3">
      <w:headerReference w:type="default" ns3:id="rId7"/>
      <w:footerReference w:type="default" ns3:id="rId8"/>
      <w:pgSz w:w="11906" w:h="16838"/>
      <w:pgMar w:top="1440" w:right="1440" w:bottom="1440" w:left="1440" w:header="708" w:footer="708" w:gutter="0"/>
      <w:pgNumType w:start="1"/>
      <w:cols w:space="720"/>
      <w:docGrid w:linePitch="360"/>
    </w:sectPr>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