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rPr>
          <ns0:rFonts ns0:eastAsia="Times New Roman"/>
        </ns0:rP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r>
        <ns0:rPr>
          <ns0:rFonts ns0:eastAsia="Times New Roman"/>
        </ns0:rPr>
      </ns0:r>
      <ns0:del ns0:id="12" ns0:author="Claude" ns0:date="2026-02-01T14:59:00Z" ns3:dateUtc="2026-02-01T14:59:18Z">
        <ns0:r ns0:rsidR="00000000" ns0:rsidDel="1937EF80">
          <ns0:rPr>
            <ns0:rFonts ns0:eastAsia="Times New Roman"/>
          </ns0:rPr>
          <ns0:delText>a 8.3%</ns0:delText>
        </ns0:r>
      </ns0:del>
      <ns0:ins ns0:id="13" ns0:author="Claude" ns0:date="2026-02-01T14:59:00Z" ns3:dateUtc="2026-02-01T14:59:18Z">
        <ns0:r>
          <ns0:rPr>
            <ns0:rFonts ns0:eastAsia="Times New Roman"/>
          </ns0:rPr>
          <ns0:t>a 28.1%</ns0:t>
        </ns0:r>
      </ns0:ins>
      <ns0:r>
        <ns0:rPr>
          <ns0:rFonts ns0:eastAsia="Times New Roman"/>
        </ns0:rPr>
      </ns0:r>
      <ns0:del ns0:id="14" ns0:author="Claude" ns0:date="2026-02-01T14:59:00Z" ns3:dateUtc="2026-02-01T14:59:18Z">
        <ns0:r ns0:rsidR="00000000" ns0:rsidDel="1937EF80">
          <ns0:rPr>
            <ns0:rFonts ns0:eastAsia="Times New Roman"/>
          </ns0:rPr>
          <ns0:delText>1.7%</ns0:delText>
        </ns0:r>
      </ns0:del>
      <ns0:ins ns0:id="15" ns0:author="Claude" ns0:date="2026-02-01T14:59:00Z" ns3:dateUtc="2026-02-01T14:59:18Z">
        <ns0:del ns0:id="16" ns0:author="Claude" ns0:date="2026-02-05T00:00:00Z">
          <ns0:r>
            <ns0:rPr>
              <ns0:rFonts ns0:eastAsia="Times New Roman"/>
            </ns0:rPr>
            <ns0:delText>1.0%</ns0:delText>
          </ns0:r>
        </ns0:del>
      </ns0:ins>
      <ns0:ins ns0:id="17" ns0:author="Claude" ns0:date="2026-02-05T00:00:00Z">
        <ns0:r ns0:rsidR="00000000">
          <ns0:t>1.0%</ns0:t>
        </ns0:r>
      </ns0:ins>
      <ns0:r>
        <ns0:rPr>
          <ns0:rFonts ns0:eastAsia="Times New Roman"/>
        </ns0:rPr>
      </ns0:r>
      <ns0:del ns0:id="18" ns0:author="Claude" ns0:date="2026-02-01T14:59:00Z" ns3:dateUtc="2026-02-01T14:59:18Z">
        <ns0:r ns0:rsidR="00000000" ns0:rsidDel="1937EF80">
          <ns0:rPr>
            <ns0:rFonts ns0:eastAsia="Times New Roman"/>
          </ns0:rPr>
          <ns0:delText>EBE 23% higher</ns0:delText>
        </ns0:r>
      </ns0:del>
      <ns0:ins ns0:id="19" ns0:author="Claude" ns0:date="2026-02-01T14:59:00Z" ns3:dateUtc="2026-02-01T14:59:18Z">
        <ns0:r>
          <ns0:rPr>
            <ns0:rFonts ns0:eastAsia="Times New Roman"/>
          </ns0:rPr>
          <ns0:t>EBE 27% higher</ns0:t>
        </ns0:r>
      </ns0:ins>
      <ns0:r>
        <ns0:rPr>
          <ns0:rFonts ns0:eastAsia="Times New Roman"/>
        </ns0:rPr>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Three-Pillar Design</ns0:t>
      </ns0:r>
    </ns0:p>
    <ns0:p ns2:paraId="04EC5DDC" ns2:textId="77777777" ns0:rsidR="00F803C3" ns0:rsidRDefault="00000000">
      <ns0:pPr>
        <ns0:spacing ns0:after="120" ns0:line="480" ns0:lineRule="auto"/>
        <ns0:ind ns0:firstLine="360"/>
        <ns0:jc ns0:val="both"/>
      </ns0:pPr>
      <ns0:r>
        <ns0:rPr>
          <ns0:rFonts ns0:eastAsia="Times New Roman"/>
        </ns0:rPr>
        <ns0:t>WAGF operates as a middleware layer between LLM agents and the simulation engine, following a strict separation of concerns: the LLM makes decisions, WAGF validates them, and the simulation engine executes approved actions (Figure 1). This design ensures that the governance layer never generates decisions or mutates simulation state directly.</ns0:t>
      </ns0:r>
    </ns0:p>
    <ns0:p ns2:paraId="7AD963E9" ns2:textId="77777777" ns0:rsidR="00F803C3" ns0:rsidRDefault="00000000">
      <ns0:pPr>
        <ns0:spacing ns0:after="120" ns0:line="480" ns0:lineRule="auto"/>
        <ns0:ind ns0:firstLine="360"/>
        <ns0:jc ns0:val="both"/>
      </ns0:pPr>
      <ns0:r>
        <ns0:rPr>
          <ns0:rFonts ns0:eastAsia="Times New Roman"/>
        </ns0:rPr>
        <ns0:t xml:space="preserve">The first pillar, </ns0:t>
      </ns0:r>
      <ns0:r>
        <ns0:rPr>
          <ns0:rFonts ns0:eastAsia="Times New Roman"/>
          <ns0:b/>
          <ns0:bCs/>
        </ns0:rPr>
        <ns0:t>governance</ns0:t>
      </ns0:r>
      <ns0:r>
        <ns0:rPr>
          <ns0:rFonts ns0:eastAsia="Times New Roman"/>
        </ns0:rPr>
        <ns0:t>,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WAGF re-prompts the LLM with the rejection reason, allowing the agent to revise its decision (up to three retries). This approach draws on constitutional AI principles (Bai et al., 2022), applying rule-based constraints rather than learned reward signals.</ns0:t>
      </ns0:r>
    </ns0:p>
    <ns0:p ns2:paraId="00DADB2F" ns2:textId="77777777" ns0:rsidR="00F803C3" ns0:rsidRDefault="00000000">
      <ns0:pPr>
        <ns0:spacing ns0:after="120" ns0:line="480" ns0:lineRule="auto"/>
        <ns0:ind ns0:firstLine="360"/>
        <ns0:jc ns0:val="both"/>
      </ns0:pPr>
      <ns0:r>
        <ns0:rPr>
          <ns0:rFonts ns0:eastAsia="Times New Roman"/>
        </ns0:rPr>
        <ns0:t xml:space="preserve">The second pillar, </ns0:t>
      </ns0:r>
      <ns0:r>
        <ns0:rPr>
          <ns0:rFonts ns0:eastAsia="Times New Roman"/>
          <ns0:b/>
          <ns0:bCs/>
        </ns0:rPr>
        <ns0:t>cognitive memory</ns0:t>
      </ns0:r>
      <ns0:r>
        <ns0:rPr>
          <ns0:rFonts ns0:eastAsia="Times New Roman"/>
        </ns0:rPr>
        <ns0:t xml:space="preserve">, provides agents with structured access to their decision history. WAGF supports multiple memory engines: a sliding-window engine that maintains recent events (Group B baseline), and a human-centric engine that encodes episodic memories with emotional arousal weights and applies stochastic consolidation and decay </ns0:t>
      </ns0:r>
      <ns0:r>
        <ns0:rPr>
          <ns0:rFonts ns0:eastAsia="Times New Roman"/>
        </ns0:rPr>
        <ns0:lastRenderedPageBreak/>
        <ns0:t>(Group C). Memory content is injected into the LLM prompt as contextual background, enabling agents to learn from experience without requiring fine-tuning.</ns0:t>
      </ns0:r>
    </ns0:p>
    <ns0:p ns2:paraId="67173F29" ns2:textId="77777777" ns0:rsidR="00F803C3" ns0:rsidRDefault="00000000">
      <ns0:pPr>
        <ns0:spacing ns0:after="120" ns0:line="480" ns0:lineRule="auto"/>
        <ns0:ind ns0:firstLine="360"/>
        <ns0:jc ns0:val="both"/>
      </ns0:pPr>
      <ns0:r>
        <ns0:rPr>
          <ns0:rFonts ns0:eastAsia="Times New Roman"/>
        </ns0:rPr>
        <ns0:t xml:space="preserve">The third pillar, </ns0:t>
      </ns0:r>
      <ns0:r>
        <ns0:rPr>
          <ns0:rFonts ns0:eastAsia="Times New Roman"/>
          <ns0:b/>
          <ns0:bCs/>
        </ns0:rPr>
        <ns0:t>priority context</ns0:t>
      </ns0:r>
      <ns0:r>
        <ns0:rPr>
          <ns0:rFonts ns0:eastAsia="Times New Roman"/>
        </ns0:rPr>
        <ns0:t>,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ns0:t>
      </ns0:r>
    </ns0:p>
    <ns0:p ns2:paraId="01DF04BB" ns2:textId="77777777" ns0:rsidR="00F803C3" ns0:rsidRDefault="00000000">
      <ns0:pPr>
        <ns0:pStyle ns0:val="2"/>
        <ns0:spacing ns0:line="480" ns0:lineRule="auto"/>
      </ns0:pPr>
      <ns0:r>
        <ns0:t>2.2 Skill Registry and Validator Chain</ns0:t>
      </ns0:r>
    </ns0:p>
    <ns0:p ns2:paraId="63C52A09" ns2:textId="77777777" ns0:rsidR="00F803C3" ns0:rsidRDefault="00000000">
      <ns0:pPr>
        <ns0:spacing ns0:after="120" ns0:line="480" ns0:lineRule="auto"/>
        <ns0:ind ns0:firstLine="360"/>
        <ns0:jc ns0:val="both"/>
      </ns0:pPr>
      <ns0:r>
        <ns0:rPr>
          <ns0:rFonts ns0:eastAsia="Times New Roman"/>
        </ns0:rPr>
        <ns0:t>WAGF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 xml:space="preserve">WAGF is domain-agnostic: the same engine serves both flood adaptation and irrigation management. Domain specificity is achieved entirely through configuration - skill definitions, validator rules, and prompt templates - 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