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body>
    <w:p w14:paraId="6B4013CC" w14:textId="77777777" w:rsidR="00F803C3" w:rsidRDefault="00000000">
      <w:pPr>
        <w:spacing w:after="120" w:line="480" w:lineRule="auto"/>
        <w:jc w:val="center"/>
      </w:pPr>
      <w:r>
        <w:t>WAGF: A Governance Framework for LLM-Driven Agent-Based Models of Human-Water Systems</w:t>
      </w:r>
    </w:p>
    <w:p w14:paraId="14446E00" w14:textId="6A401164" w:rsidR="00F803C3" w:rsidRDefault="00000000">
      <w:pPr>
        <w:spacing w:after="60" w:line="480" w:lineRule="auto"/>
        <w:jc w:val="center"/>
      </w:pPr>
      <w:r>
        <w:rPr>
          <w:rFonts w:eastAsia="Times New Roman"/>
        </w:rPr>
        <w:t>Wen</w:t>
      </w:r>
      <w:r w:rsidR="00D7280E">
        <w:rPr>
          <w:rFonts w:hint="eastAsia"/>
        </w:rPr>
        <w:t>y</w:t>
      </w:r>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r w:rsidR="00D7280E">
        <w:rPr>
          <w:rFonts w:hint="eastAsia"/>
          <w:sz w:val="22"/>
          <w:szCs w:val="22"/>
        </w:rPr>
        <w:t>324</w:t>
      </w:r>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t>WAGF reduces feasibility hallucination (R_H) and rationality deviation (R_R) relative to ungoverned LLM agents, while preserving high behavioral diversity.</w:t>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t>Governance rules transfer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provide an alternative route for representing context-dependent behavior in agent-based models (ABMs) for water resources planning. However, unconstrained LLM agents can generate state-incompatible or behaviorally inconsistent proposals. We present WAGF (Water Agent Governance Framework), an open-source governance framework that applies domain-specific physical and institutional constraints while retaining behavioral heterogeneity. WAGF integrates three components: (1) a rule-based validator chain, (2) a tiered cognitive memory system, and (3) a priority context builder. We report two complementary diagnostics, rationality deviation (R_R) and feasibility contradiction (R_H), and quantify diversity with Effective Behavioral Entropy (EBE). In flood adaptation experiments (100 agents, 10 years, three Gemma 3 sizes), governance is associated with lower coherence deviations and comparable or higher effective diversity. We further demonstrate transferability in Colorado River irrigation management (78 districts, 42 years).</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t>Artificial intelligence language models can support virtual agents that make human-like decisions in water management simulations. Without governance, agents may produce infeasible or behaviorally inconsistent choices. WAGF checks each decision against identity and physical constraints, then applies coherence checks before execution. This process is designed to improve behavioral coherence while preserving diverse, realistic choices.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Agent-based models (ABMs) are a core method for coupled human-water analysis, including flood adaptation and irrigation under scarcity (Aerts et al., 2018; Di Baldassarre et al., 2013; Hung &amp; Yang, 2021). In water resources practice, many ABMs commonly use theory-grounded rules and utility assumptions, which provide interpretability and calibration while constraining adaptive expressivity (Filatova et al., 2013; Berglund, 2015). LLM-driven agents provide an alternative modeling route for context-dependent behavioral responses and heterogeneous decision patterns (Park et al., 2023; Gao et al., 2024).</w:t>
      </w:r>
    </w:p>
    <w:p w14:paraId="5DCCD49B" w14:textId="77777777" w:rsidR="00F803C3" w:rsidRDefault="00000000">
      <w:pPr>
        <w:spacing w:after="120" w:line="480" w:lineRule="auto"/>
        <w:ind w:firstLine="360"/>
        <w:jc w:val="both"/>
      </w:pPr>
      <w:r>
        <w:t>This shift introduces a governance challenge. Without explicit controls, LLM agents may produce physically infeasible actions, behaviorally incoherent actions, or state-inconsistent action patterns that are difficult to diagnose from prompts alone (Ji et al., 2023). In water ABMs, these outputs can include re-adopting completed measures, violating allocation constraints, or selecting extreme actions under incompatible states. In our experiments, prompt-only steering did not consistently prevent these patterns; feasibility checks and audit traces were needed to support interpretable behavioral analysis.</w:t>
      </w:r>
    </w:p>
    <w:p w14:paraId="160515C1" w14:textId="77777777" w:rsidR="00F803C3" w:rsidRDefault="00000000">
      <w:pPr>
        <w:spacing w:after="120" w:line="480" w:lineRule="auto"/>
        <w:ind w:firstLine="360"/>
        <w:jc w:val="both"/>
      </w:pPr>
      <w:r>
        <w:t>This Technical Note addresses that gap with three contributions. First, it presents WAGF (Water Agent Governance Framework), an open-source governance framework between LLM reasoning and simulation execution. WAGF combines a rule-based validator chain, skill-level action contracts and proposal checks, retry-with-feedback control, and structured audit logging. Second, it introduces Effective Behavioral Entropy (EBE), a diversity summary used alongside feasibility and coherence diagnostics. Third, it demonstrates transfer across two configured domains, household flood adaptation (100 agents, 10 years) and Colorado River irrigation management (78 districts, 42 years), showing that governance can constrain infeasible behavior while retaining bounded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framework between LLM reasoning and simulation state transition. Identity rules and physical rules are enforced as first-pass constraints before thinking-level coherence checks, so infeasible proposals are filtered prior to execution.</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t>Table 1. Cross-model governance effectiveness in flood adaptation (100 agents, 10 years). Ungov. = Group A (raw LLM), WAGF = governed configurations. Main table columns emphasize R_R and diversity retention (H_norm, EHE). R_H is retained as a strict feasibility safety diagnostic in SI.</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n_active          (1)</w:t>
      </w:r>
    </w:p>
    <w:p w14:paraId="51E4AFA6" w14:textId="77777777" w:rsidR="00F803C3" w:rsidRDefault="00000000">
      <w:pPr>
        <w:spacing w:after="120" w:line="480" w:lineRule="auto"/>
        <w:jc w:val="both"/>
      </w:pPr>
      <w:r>
        <w:t>R_R = n_think / n_active          (2)</w:t>
      </w:r>
    </w:p>
    <w:p w14:paraId="4D3349D9" w14:textId="77777777" w:rsidR="00F803C3" w:rsidRDefault="00000000">
      <w:pPr>
        <w:spacing w:before="120" w:after="120" w:line="480" w:lineRule="auto"/>
        <w:jc w:val="center"/>
      </w:pPr>
      <w:r>
        <w:t>R_H is the feasibility hallucination rate (decision-level identity/feasibility violations over active decisions), while R_R is the rationality-deviation rate (decision-level thinking-rule coherence violations over active decisions). These numerators are counted at decision level and are not equal to retry workload metrics (retry_rows, retry_sum). We define Effective Behavioral Entropy (EBE) as diversity adjusted by feasibility burden:</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t>We compare three governance configurations using Gemma 3 4B (Gemma Team, 2024) as the primary LLM: Group A (ungoverned; 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household is counted as a feasibility violation (R_H channel). Rationality deviation is evaluated with thinking-rule coherence checks between appraisal and selected action (R_R channel). Both channels are computed at decision level over active decisions, while retry counters are reported separately as governance workload.</w:t>
      </w:r>
    </w:p>
    <w:p w14:paraId="1588D2D4" w14:textId="77777777" w:rsidR="00F803C3" w:rsidRDefault="1937EF80">
      <w:pPr>
        <w:spacing w:after="120" w:line="480" w:lineRule="auto"/>
        <w:ind w:firstLine="360"/>
        <w:jc w:val="both"/>
      </w:pPr>
      <w:r>
        <w:t>Under the current strict feasibility definition (identity/precondition contradictions), R_H remains near zero across most runs. The dominant residual channel is coherence deviation (R_R), and governance (Groups B/C) substantially reduces this channel relative to ungoverned baselines.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The central performance pattern is lower coherence deviation (R_R) under governance with retained effective diversity (EHE). Raw entropy alone can be misleading when feasibility and coherence channels are not reported jointly; therefore we report R_R, R_H, H_norm, and EHE together.</w:t>
      </w:r>
    </w:p>
    <w:p w14:paraId="73B224E5" w14:textId="77777777" w:rsidR="00F803C3" w:rsidRDefault="00000000">
      <w:pPr>
        <w:spacing w:after="120" w:line="480" w:lineRule="auto"/>
        <w:ind w:firstLine="360"/>
        <w:jc w:val="both"/>
      </w:pPr>
      <w:r>
        <w:t>The most striking behavioral difference is relocation. Group A produces zero cumulative relocations: 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t>Table 1 (continued). Detailed model-level values are provided in the companion table sources (`Table1_main_metrics_v8.csv` for main results and SI tables for feasibility diagnostics).</w:t>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are interpreted under the updated metric split: R_R as the primary behavioral-rationalization channel, with R_H as a strict secondary safety diagnostic.</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pPr>
      <w:r>
        <w:t>To evaluate transferability, we configure WAGF in a Colorado River irrigation-demand setting while keeping the core governance runtime unchanged from the flood case. The domain adaptation is implemented through configuration-level substitutions, including skill definitions, validator rules, appraisal constructs, and persona templates. In this domain, agents use a dual-appraisal structure, Water Scarcity Assessment (WSA) and Adaptive Capacity Assessment (ACA), which is better aligned with chronic, continuous decision pressure than acute hazard-response settings. This design choice preserves theoretical alignment while maintaining a consistent governance workflow across domains.</w:t>
      </w:r>
    </w:p>
    <w:p w:rsidR="BE341ECD" w:rsidRDefault="BE341ECD" w:rsidP="BE341ECD" w14:paraId="57ECC17F" w14:textId="218EF834">
      <w:pPr>
        <w:spacing w:after="120" w:line="480" w:lineRule="auto"/>
        <w:ind w:firstLine="360"/>
        <w:jc w:val="both"/>
        <w:rPr/>
      </w:pPr>
      <w:r>
        <w:t>Governance is applied in ordered layers: identity and physical feasibility constraints first, followed by construct-conditioned coherence checks, retry-with-feedback, and auditable execution outcomes. Figure 3 shows that this reconfigured setup yields plausible long-horizon system behavior under institutional and hydrologic constraints, while preserving bounded behavioral heterogeneity at the agent level. The irrigation case is therefore presented as transferability evidence: the same framework can be reused across water domains without redesigning core architecture.</w:t>
      </w:r>
    </w:p>
    <w:p w14:paraId="37A210A7" w14:textId="77777777" w:rsidR="CF7DCF98" w:rsidRDefault="CF7DCF98" w:rsidP="CF7DCF98">
      <w:pPr>
        <w:spacing w:after="120" w:line="480" w:lineRule="auto"/>
        <w:ind w:firstLine="360"/>
        <w:jc w:val="both"/>
      </w:pPr>
    </w:p>
    <w:p w14:paraId="5F65BAD8" w14:textId="77777777" w:rsidR="CF7DCF98" w:rsidRDefault="CF7DCF98" w:rsidP="CF7DCF98">
      <w:pPr>
        <w:spacing w:after="120" w:line="480" w:lineRule="auto"/>
        <w:ind w:firstLine="360"/>
        <w:jc w:val="both"/>
      </w:pPr>
    </w:p>
    <w:p w14:paraId="7CEF31DA" w14:textId="77777777" w:rsidR="00F803C3" w:rsidRDefault="00000000">
      <w:pPr>
        <w:pStyle w:val="2"/>
        <w:spacing w:line="480" w:lineRule="auto"/>
      </w:pPr>
      <w:r>
        <w:t>5.2 Results</w:t>
      </w:r>
    </w:p>
    <w:p w:rsidR="BE341ECD" w:rsidRDefault="BE341ECD" w:rsidP="BE341ECD" w14:paraId="4BC5A23E" w14:textId="23C7126A">
      <w:pPr>
        <w:spacing w:after="120" w:line="480" w:lineRule="auto"/>
        <w:ind w:firstLine="360"/>
        <w:jc w:val="both"/>
        <w:rPr/>
      </w:pPr>
      <w:r>
        <w:t>Figure 3 presents the transferability demonstration in the irrigation domain. Panel (a) shows system-level demand trajectories against the reference envelope across the simulation horizon. Panel (b) summarizes Lake Mead elevation dynamics over time. The emphasis is not on introducing additional performance metrics, but on demonstrating that the same governance framework remains operational, interpretable, and behaviorally plausible after domain reconfiguration.</w:t>
      </w:r>
    </w:p>
    <w:p w:rsidR="BE341ECD" w:rsidRDefault="BE341ECD" w:rsidP="BE341ECD" w14:paraId="0FD43808" w14:textId="47E802C6">
      <w:pPr>
        <w:spacing w:after="120" w:line="480" w:lineRule="auto"/>
        <w:ind w:firstLine="360"/>
        <w:jc w:val="both"/>
        <w:rPr/>
      </w:pPr>
      <w:r>
        <w:t>Together, the two panels provide visual evidence that WAGF can be transferred from flood adaptation to irrigation-demand management using configuration-level changes, while retaining feasible action filtering and interpretable decision dynamics under chronic scarcity.</w:t>
      </w:r>
    </w:p>
    <w:p w:rsidR="BE341ECD" w:rsidRDefault="BE341ECD" w:rsidP="BE341ECD" w14:paraId="2A00E618" w14:textId="02C3F51C">
      <w:pPr>
        <w:spacing w:after="120" w:line="480" w:lineRule="auto"/>
        <w:ind w:firstLine="360"/>
        <w:jc w:val="both"/>
        <w:rPr/>
      </w:pPr>
      <w:r>
        <w:t>The governance process visibly narrows the executable action space while retaining interpretable differences across behavioral clusters, indicating bounded heterogeneity rather than homogeneous lock-step behavior. This pattern is consistent with the chapter goal: transferability with governance-legible dynamics, not optimization-centric performance reporting.</w:t>
      </w:r>
    </w:p>
    <w:p w14:paraId="0051CFE8" w14:textId="77777777" w:rsidR="CF7DCF98" w:rsidRDefault="CF7DCF98" w:rsidP="CF7DCF98">
      <w:pPr>
        <w:spacing w:after="120" w:line="480" w:lineRule="auto"/>
        <w:ind w:firstLine="360"/>
        <w:jc w:val="both"/>
      </w:pPr>
      <w:r>
        <w:t>[FIGURE 3: Irrigation Results - (a) Demand trajectories, (b) Governance outcomes]</w:t>
      </w:r>
    </w:p>
    <w:p w14:paraId="5DA1A643" w14:textId="77777777" w:rsidR="CF7DCF98" w:rsidRDefault="CF7DCF98" w:rsidP="CF7DCF98">
      <w:pPr>
        <w:spacing w:after="120" w:line="480" w:lineRule="auto"/>
        <w:ind w:firstLine="360"/>
        <w:jc w:val="both"/>
      </w:pPr>
      <w:r>
        <w:rPr>
          <w:b/>
        </w:rPr>
        <w:t>Figure 3.</w:t>
      </w:r>
      <w:r>
        <w:rPr>
          <w:b w:val="0"/>
        </w:rPr>
        <w:t xml:space="preserve"> Irrigation case study: 78 CRSS districts, 42 years, Gemma 3 4B, Phase C governance. (a) Annual aggregate water demand. Dashed indigo: CRSS static baseline (USBR, 2012). Solid teal: WAGF governed request. Dotted blue: actual diversion after curtailment. Shaded band: ±10% CRSS reference range. The cold-start transient (2019–2023) reflects zero-memory initialization; steady-state demand (2024–2060) tracks the CRSS baseline within the ±10% corridor (88% of years). (b) Lake Mead elevation trajectory with DCP shortage tier bands. Tier thresholds at 1,075 ft (Tier 1, 5% curtailment), 1,050 ft (Tier 2, 10%), and 1,025 ft (Tier 3, 20%) follow the 2019 Drought Contingency Plan. Elevation ranges from 1,003 to 1,179 ft across the 42-year horizon, with 12 shortage years (Tier 1: 5, Tier 2: 2, Tier 3: 5). The bidirectional coupling between panels is the core mechanism: agent demand decisions (a) affect reservoir storage and elevation (b), which in turn determines shortage tiers and curtailment ratios fed back to agents.</w:t>
      </w:r>
    </w:p>
    <w:p w14:paraId="1D742DE9" w14:textId="77777777" w:rsidR="CF7DCF98" w:rsidRDefault="CF7DCF98" w:rsidP="CF7DCF98">
      <w:pPr>
        <w:spacing w:after="120" w:line="480" w:lineRule="auto"/>
        <w:ind w:firstLine="360"/>
        <w:jc w:val="both"/>
      </w:pPr>
    </w:p>
    <w:p w14:paraId="0D121625" w14:textId="77777777" w:rsidR="CF7DCF98" w:rsidRDefault="CF7DCF98" w:rsidP="CF7DCF98">
      <w:pPr>
        <w:spacing w:before="240" w:after="60" w:line="480" w:lineRule="auto"/>
        <w:jc w:val="center"/>
      </w:pPr>
      <w:del w:id="4" w:author="Claude" w:date="2026-02-09T16:29:40Z" w16du:dateUtc="2026-02-09T16:29:40Z">
        <w:r w:rsidDel="78D810E4">
          <w:rPr>
            <w:rFonts w:eastAsia="Times New Roman"/>
            <w:i/>
            <w:iCs/>
            <w:color w:val="CC0000"/>
          </w:rPr>
          <w:delText xml:space="preserve">[FIGURE 4: Irrigation transfer diagnostics from production traces. (a) Governance outcome proportions by year (Approved, Retry-success, Rejected), (b) Top rule-trigger frequencies, (c) Approved action composition with normalized entropy. 78 CRSS districts, production traces v19-v20.]</w:delText>
        </w:r>
      </w:del>
      <w:ins w:id="5" w:author="Claude" w:date="2026-02-09T16:29:40Z" w16du:dateUtc="2026-02-09T16:29:40Z">
        <w:r w:rsidR="78D810E4">
          <w:rPr>
            <w:rFonts w:eastAsia="Times New Roman"/>
            <w:i/>
            <w:iCs/>
            <w:color w:val="CC0000"/>
          </w:rPr>
          <w:t xml:space="preserve">[Figure 3. Irrigation case study (78 agents, 42 years, gemma3:4b). (a) Annual aggregate demand vs CRSS baseline (dashed) with ±10% corridor (shaded). (b) Governance intervention outcomes: persistent ~60% intervention rate reflects structural bounded rationality requiring continuous governance constraint.]</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rsidR="E8F849E9" w:rsidRDefault="E8F849E9" w:rsidP="E8F849E9" w14:paraId="5F34C229" w14:textId="6A5F7329">
      <w:pPr>
        <w:spacing w:after="120" w:line="480" w:lineRule="auto"/>
        <w:ind w:firstLine="360"/>
        <w:jc w:val="both"/>
        <w:rPr/>
      </w:pPr>
      <w:r w:rsidR="E8F849E9">
        <w:t xml:space="preserve">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p>
    <w:p w14:paraId="13EAB3F9" w14:textId="77777777" w:rsidR="00F803C3" w:rsidRDefault="9E21DE22">
      <w:pPr>
        <w:spacing w:after="120" w:line="480" w:lineRule="auto"/>
        <w:ind w:firstLine="360"/>
        <w:jc w:val="both"/>
      </w:pPr>
      <w:del w:id="8" w:author="Claude" w:date="2026-02-09T16:29:40Z" w16du:dateUtc="2026-02-09T16:29:40Z">
        <w:r w:rsidDel="78D810E4">
          <w:delTex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delText>
        </w:r>
      </w:del>
      <w:ins w:id="9" w:author="Claude" w:date="2026-02-09T16:29:40Z" w16du:dateUtc="2026-02-09T16:29:40Z">
        <w:r w:rsidR="78D810E4">
          <w:t>Several limitations remain. First, primary results are based on single-seed runs; flood experiments use N=100 agents for within-run contrast, and irrigation results (78 agents, seed 42) have not been evaluated across alternative random seeds.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ins>
      <w:r w:rsidR="E8F849E9">
        <w:rPr>
          <w:rFonts w:cs="Times New Roman"/>
        </w:rPr>
        <w:t xml:space="preserve"> Sixth, the reflection mechanism provides agents with individual action-outcome feedback but not basin-level externalities; whether richer system-level feedback could reduce governance dependence with more capable LLMs remains untested.</w:t>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framework for LLM-driven agent-based modeling of human-water systems</w:t>
      </w:r>
    </w:p>
    <w:p w14:paraId="5FDBF738" w14:textId="77777777" w:rsidR="00F803C3" w:rsidRDefault="1937EF80">
      <w:pPr>
        <w:spacing w:after="120" w:line="480" w:lineRule="auto"/>
        <w:ind w:firstLine="360"/>
        <w:jc w:val="both"/>
      </w:pPr>
      <w:r>
        <w:t>In the flood case, strict-feasibility R_H is near zero in current runs, while coherence deviations (R_R) remain materially higher in ungoverned settings</w:t>
      </w:r>
    </w:p>
    <w:p w14:paraId="14A813A3" w14:textId="77777777" w:rsidR="259F63AB" w:rsidRDefault="259F63AB" w:rsidP="259F63AB">
      <w:pPr>
        <w:spacing w:after="120" w:line="480" w:lineRule="auto"/>
        <w:ind w:firstLine="360"/>
        <w:jc w:val="both"/>
        <w:rPr/>
      </w:pPr>
      <w:r>
        <w:t>Second, governance reduces both feasibility hallucination (R_H) and irrational behavior (R_R) while maintaining high behavioral diversity. Governed groups show higher EBE than the ungoverned baseline and substantially higher cumulative relocation in flood adaptation, indicating that governance removes infeasible/irrational mass without collapsing the action repertoire.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rsidR="E8F849E9">
        <w:t xml:space="preserve">Future work should extend multi-agent interaction governance, develop data-informed rule induction, and provide fuller inferential summaries for R_R alongside R_H/EBE across domains.</w:t>
      </w:r>
      <w:r w:rsidR="E8F849E9">
        <w:rPr>
          <w:rFonts w:cs="Times New Roman"/>
        </w:rPr>
        <w:t xml:space="preserve">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w:t>
      </w:r>
      <w:r w:rsidR="E8F849E9">
        <w:t xml:space="preserve">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t>Hadjimichael, A., et al. (2020). Defining robustness for diverse stakeholder interests in institutionally complex river basins. Earth's Future,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p>
      <w:r>
        <w:br w:type="page"/>
      </w:r>
    </w:p>
  </w:body>
</w:document>
</file>

<file path=word/endnotes.xml><?xml version="1.0" encoding="utf-8"?>
<w:end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ns2="http://schemas.openxmlformats.org/officeDocument/2006/math" xmlns:ns3="urn:schemas-microsoft-com:office:office" xmlns:ns4="urn:schemas-microsoft-com:v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 w:val="78D810E4"/>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w14:docId w14:val="4D927A72"/>
  <w15:docId w15:val="{06CCC1A7-33B5-4603-99BA-173FF5ED8620}"/>
  <w:lnNumType w:countBy="1" w:start="1" w:distance="360" w:restart="newPag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