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C1961" w14:textId="7DED166B" w:rsidR="005A67F3" w:rsidRDefault="00414FA9" w:rsidP="00DF118A">
      <w:pPr>
        <w:spacing w:line="360" w:lineRule="auto"/>
        <w:rPr>
          <w:rFonts w:ascii="Times New Roman" w:hAnsi="Times New Roman" w:cs="Times New Roman"/>
          <w:b/>
          <w:i/>
          <w:iCs/>
        </w:rPr>
      </w:pPr>
      <w:r w:rsidRPr="00414FA9">
        <w:rPr>
          <w:rFonts w:ascii="Times New Roman" w:hAnsi="Times New Roman" w:cs="Times New Roman" w:hint="eastAsia"/>
          <w:b/>
          <w:i/>
          <w:iCs/>
        </w:rPr>
        <w:t>Paper draft (</w:t>
      </w:r>
      <w:r w:rsidRPr="00414FA9">
        <w:rPr>
          <w:rFonts w:ascii="Times New Roman" w:hAnsi="Times New Roman" w:cs="Times New Roman"/>
          <w:b/>
          <w:i/>
          <w:iCs/>
        </w:rPr>
        <w:t>Without</w:t>
      </w:r>
      <w:r w:rsidRPr="00414FA9">
        <w:rPr>
          <w:rFonts w:ascii="Times New Roman" w:hAnsi="Times New Roman" w:cs="Times New Roman" w:hint="eastAsia"/>
          <w:b/>
          <w:i/>
          <w:iCs/>
        </w:rPr>
        <w:t xml:space="preserve"> abstract)</w:t>
      </w:r>
      <w:r w:rsidR="00DF118A">
        <w:rPr>
          <w:rFonts w:ascii="Times New Roman" w:hAnsi="Times New Roman" w:cs="Times New Roman" w:hint="eastAsia"/>
          <w:b/>
          <w:i/>
          <w:iCs/>
        </w:rPr>
        <w:t xml:space="preserve"> </w:t>
      </w:r>
    </w:p>
    <w:p w14:paraId="08E0D47B" w14:textId="4E8175AC" w:rsidR="00414FA9" w:rsidRDefault="00DF118A" w:rsidP="005A67F3">
      <w:pPr>
        <w:pStyle w:val="a3"/>
        <w:numPr>
          <w:ilvl w:val="0"/>
          <w:numId w:val="47"/>
        </w:numPr>
        <w:spacing w:line="360" w:lineRule="auto"/>
        <w:ind w:leftChars="0"/>
        <w:rPr>
          <w:rFonts w:ascii="Times New Roman" w:hAnsi="Times New Roman" w:cs="Times New Roman"/>
          <w:b/>
        </w:rPr>
      </w:pPr>
      <w:r w:rsidRPr="005A67F3">
        <w:rPr>
          <w:rFonts w:ascii="Times New Roman" w:hAnsi="Times New Roman" w:cs="Times New Roman" w:hint="eastAsia"/>
          <w:b/>
        </w:rPr>
        <w:t xml:space="preserve">Journal: </w:t>
      </w:r>
      <w:r w:rsidRPr="005A67F3">
        <w:rPr>
          <w:rFonts w:ascii="Times New Roman" w:hAnsi="Times New Roman" w:cs="Times New Roman"/>
          <w:b/>
        </w:rPr>
        <w:t>Sustainable Cities and Society</w:t>
      </w:r>
    </w:p>
    <w:p w14:paraId="05450046" w14:textId="00D375C8" w:rsidR="005A67F3" w:rsidRPr="005A67F3" w:rsidRDefault="00780E41" w:rsidP="005A67F3">
      <w:pPr>
        <w:pStyle w:val="a3"/>
        <w:numPr>
          <w:ilvl w:val="0"/>
          <w:numId w:val="47"/>
        </w:numPr>
        <w:spacing w:line="360" w:lineRule="auto"/>
        <w:ind w:leftChars="0"/>
        <w:rPr>
          <w:rFonts w:ascii="Times New Roman" w:hAnsi="Times New Roman" w:cs="Times New Roman"/>
          <w:b/>
        </w:rPr>
      </w:pPr>
      <w:r>
        <w:rPr>
          <w:rFonts w:ascii="Times New Roman" w:hAnsi="Times New Roman" w:cs="Times New Roman" w:hint="eastAsia"/>
          <w:b/>
        </w:rPr>
        <w:t xml:space="preserve">The format follows the requirement </w:t>
      </w:r>
      <w:r w:rsidR="00A35F6C">
        <w:rPr>
          <w:rFonts w:ascii="Times New Roman" w:hAnsi="Times New Roman" w:cs="Times New Roman" w:hint="eastAsia"/>
          <w:b/>
        </w:rPr>
        <w:t>of SCC</w:t>
      </w:r>
    </w:p>
    <w:p w14:paraId="2F884472" w14:textId="3AB33ABA" w:rsidR="00C51214" w:rsidRPr="00414FA9" w:rsidRDefault="00C51214" w:rsidP="005B487C">
      <w:pPr>
        <w:spacing w:line="360" w:lineRule="auto"/>
        <w:rPr>
          <w:rFonts w:ascii="Times New Roman" w:hAnsi="Times New Roman" w:cs="Times New Roman"/>
          <w:bCs/>
          <w:sz w:val="24"/>
          <w:szCs w:val="24"/>
          <w:lang w:val="en-US"/>
        </w:rPr>
      </w:pPr>
      <w:r w:rsidRPr="00414FA9">
        <w:rPr>
          <w:rFonts w:ascii="Times New Roman" w:hAnsi="Times New Roman" w:cs="Times New Roman"/>
          <w:b/>
          <w:bCs/>
          <w:sz w:val="24"/>
          <w:szCs w:val="24"/>
          <w:lang w:val="en-US"/>
        </w:rPr>
        <w:t>Household Flood Adaptation and Financial Outcomes under Social Heterogeneity: A Coupled Agent-Based and Catastrophe Modeling Framework</w:t>
      </w:r>
    </w:p>
    <w:p w14:paraId="3EBC2EE4" w14:textId="77777777" w:rsidR="00414FA9" w:rsidRDefault="00414FA9" w:rsidP="00414FA9">
      <w:pPr>
        <w:spacing w:line="360" w:lineRule="auto"/>
        <w:rPr>
          <w:rFonts w:ascii="Times New Roman" w:hAnsi="Times New Roman" w:cs="Times New Roman"/>
          <w:b/>
        </w:rPr>
      </w:pPr>
    </w:p>
    <w:p w14:paraId="49D1E553" w14:textId="3BCC44DD" w:rsidR="00414FA9" w:rsidRDefault="00414FA9" w:rsidP="00DB78AF">
      <w:pPr>
        <w:spacing w:line="360" w:lineRule="auto"/>
        <w:jc w:val="center"/>
        <w:rPr>
          <w:rFonts w:ascii="Times New Roman" w:hAnsi="Times New Roman" w:cs="Times New Roman"/>
          <w:b/>
        </w:rPr>
      </w:pPr>
      <w:r>
        <w:rPr>
          <w:rFonts w:ascii="Times New Roman" w:hAnsi="Times New Roman" w:cs="Times New Roman" w:hint="eastAsia"/>
          <w:b/>
        </w:rPr>
        <w:t>Abstrac</w:t>
      </w:r>
      <w:r w:rsidR="00DB78AF">
        <w:rPr>
          <w:rFonts w:ascii="Times New Roman" w:hAnsi="Times New Roman" w:cs="Times New Roman" w:hint="eastAsia"/>
          <w:b/>
        </w:rPr>
        <w:t>t</w:t>
      </w:r>
    </w:p>
    <w:p w14:paraId="5E8060D0" w14:textId="77777777" w:rsidR="00347CDA" w:rsidRPr="007D04AD" w:rsidRDefault="00414FA9" w:rsidP="00347CDA">
      <w:pPr>
        <w:spacing w:line="360" w:lineRule="auto"/>
        <w:rPr>
          <w:rFonts w:ascii="Times New Roman" w:hAnsi="Times New Roman" w:cs="Times New Roman"/>
          <w:bCs/>
          <w:lang w:val="en-US"/>
        </w:rPr>
      </w:pPr>
      <w:r w:rsidRPr="007D04AD">
        <w:rPr>
          <w:rFonts w:ascii="Times New Roman" w:hAnsi="Times New Roman" w:cs="Times New Roman"/>
          <w:bCs/>
          <w:lang w:val="en-US"/>
        </w:rPr>
        <w:t>Keywords</w:t>
      </w:r>
      <w:r w:rsidRPr="007D04AD">
        <w:rPr>
          <w:rFonts w:ascii="Times New Roman" w:hAnsi="Times New Roman" w:cs="Times New Roman" w:hint="eastAsia"/>
          <w:bCs/>
          <w:lang w:val="en-US"/>
        </w:rPr>
        <w:t xml:space="preserve">: </w:t>
      </w:r>
      <w:r w:rsidR="00761B36" w:rsidRPr="007D04AD">
        <w:rPr>
          <w:rFonts w:ascii="Times New Roman" w:hAnsi="Times New Roman" w:cs="Times New Roman"/>
          <w:bCs/>
          <w:lang w:val="en-US"/>
        </w:rPr>
        <w:t>Human–environment interactions</w:t>
      </w:r>
      <w:r w:rsidR="00761B36" w:rsidRPr="007D04AD">
        <w:rPr>
          <w:rFonts w:ascii="Times New Roman" w:hAnsi="Times New Roman" w:cs="Times New Roman" w:hint="eastAsia"/>
          <w:bCs/>
          <w:lang w:val="en-US"/>
        </w:rPr>
        <w:t xml:space="preserve">, </w:t>
      </w:r>
      <w:r w:rsidR="00347CDA" w:rsidRPr="007D04AD">
        <w:rPr>
          <w:rFonts w:ascii="Times New Roman" w:hAnsi="Times New Roman" w:cs="Times New Roman"/>
          <w:bCs/>
          <w:lang w:val="en-US"/>
        </w:rPr>
        <w:t>Flood risk</w:t>
      </w:r>
      <w:r w:rsidR="00347CDA" w:rsidRPr="007D04AD">
        <w:rPr>
          <w:rFonts w:ascii="Times New Roman" w:hAnsi="Times New Roman" w:cs="Times New Roman" w:hint="eastAsia"/>
          <w:bCs/>
          <w:lang w:val="en-US"/>
        </w:rPr>
        <w:t xml:space="preserve">, </w:t>
      </w:r>
      <w:r w:rsidR="00347CDA" w:rsidRPr="007D04AD">
        <w:rPr>
          <w:rFonts w:ascii="Times New Roman" w:hAnsi="Times New Roman" w:cs="Times New Roman"/>
          <w:bCs/>
          <w:lang w:val="en-US"/>
        </w:rPr>
        <w:t>Flood exposure</w:t>
      </w:r>
    </w:p>
    <w:p w14:paraId="607BD704" w14:textId="792A714E" w:rsidR="00D2468D" w:rsidRPr="007D04AD" w:rsidRDefault="00347CDA" w:rsidP="00DB78AF">
      <w:pPr>
        <w:spacing w:line="360" w:lineRule="auto"/>
        <w:rPr>
          <w:rFonts w:ascii="Times New Roman" w:hAnsi="Times New Roman" w:cs="Times New Roman"/>
          <w:bCs/>
          <w:lang w:val="en-US"/>
        </w:rPr>
      </w:pPr>
      <w:r w:rsidRPr="007D04AD">
        <w:rPr>
          <w:rFonts w:ascii="Times New Roman" w:hAnsi="Times New Roman" w:cs="Times New Roman" w:hint="eastAsia"/>
          <w:bCs/>
          <w:lang w:val="en-US"/>
        </w:rPr>
        <w:t xml:space="preserve">, </w:t>
      </w:r>
      <w:r w:rsidRPr="007D04AD">
        <w:rPr>
          <w:rFonts w:ascii="Times New Roman" w:hAnsi="Times New Roman" w:cs="Times New Roman"/>
          <w:bCs/>
          <w:lang w:val="en-US"/>
        </w:rPr>
        <w:t>Insurance uptake</w:t>
      </w:r>
      <w:r w:rsidR="00D678C5" w:rsidRPr="007D04AD">
        <w:rPr>
          <w:rFonts w:ascii="Times New Roman" w:hAnsi="Times New Roman" w:cs="Times New Roman" w:hint="eastAsia"/>
          <w:bCs/>
          <w:lang w:val="en-US"/>
        </w:rPr>
        <w:t xml:space="preserve">, </w:t>
      </w:r>
      <w:r w:rsidR="00D678C5" w:rsidRPr="007D04AD">
        <w:rPr>
          <w:rFonts w:ascii="Times New Roman" w:hAnsi="Times New Roman" w:cs="Times New Roman"/>
          <w:bCs/>
          <w:lang w:val="en-US"/>
        </w:rPr>
        <w:t>Tenure-based constraints</w:t>
      </w:r>
    </w:p>
    <w:p w14:paraId="08B585E2" w14:textId="6F1418FF" w:rsidR="00D2468D" w:rsidRPr="00874CBD" w:rsidRDefault="00505055" w:rsidP="005B487C">
      <w:pPr>
        <w:spacing w:line="360" w:lineRule="auto"/>
        <w:rPr>
          <w:rFonts w:ascii="Times New Roman" w:hAnsi="Times New Roman" w:cs="Times New Roman"/>
          <w:bCs/>
          <w:lang w:val="en-US"/>
        </w:rPr>
      </w:pPr>
      <w:r>
        <w:rPr>
          <w:rFonts w:ascii="Times New Roman" w:hAnsi="Times New Roman" w:cs="Times New Roman"/>
          <w:bCs/>
          <w:lang w:val="en-US"/>
        </w:rPr>
        <w:tab/>
      </w:r>
    </w:p>
    <w:p w14:paraId="6C2FD240" w14:textId="0D52D816" w:rsidR="00876A70" w:rsidRPr="00D458EF" w:rsidRDefault="00B71669" w:rsidP="005B487C">
      <w:pPr>
        <w:pStyle w:val="a3"/>
        <w:numPr>
          <w:ilvl w:val="0"/>
          <w:numId w:val="21"/>
        </w:numPr>
        <w:spacing w:line="360" w:lineRule="auto"/>
        <w:ind w:leftChars="0" w:left="357" w:hanging="357"/>
        <w:outlineLvl w:val="0"/>
        <w:rPr>
          <w:rFonts w:ascii="Times New Roman" w:hAnsi="Times New Roman" w:cs="Times New Roman"/>
          <w:b/>
        </w:rPr>
      </w:pPr>
      <w:r w:rsidRPr="00D458EF">
        <w:rPr>
          <w:rFonts w:ascii="Times New Roman" w:hAnsi="Times New Roman" w:cs="Times New Roman"/>
          <w:b/>
        </w:rPr>
        <w:t>Introduction</w:t>
      </w:r>
    </w:p>
    <w:p w14:paraId="4CDCA049" w14:textId="07037B7F" w:rsidR="00A82F42" w:rsidRPr="0016672D" w:rsidRDefault="000D25DD" w:rsidP="001760F5">
      <w:pPr>
        <w:pStyle w:val="a3"/>
        <w:numPr>
          <w:ilvl w:val="2"/>
          <w:numId w:val="10"/>
        </w:numPr>
        <w:spacing w:line="360" w:lineRule="auto"/>
        <w:ind w:leftChars="0"/>
        <w:jc w:val="both"/>
        <w:rPr>
          <w:rFonts w:ascii="Times New Roman" w:hAnsi="Times New Roman" w:cs="Times New Roman"/>
          <w:bCs/>
        </w:rPr>
      </w:pPr>
      <w:r w:rsidRPr="00D458EF">
        <w:rPr>
          <w:rFonts w:ascii="Times New Roman" w:hAnsi="Times New Roman" w:cs="Times New Roman"/>
          <w:bCs/>
        </w:rPr>
        <w:t>Flood Adaptation and Behavioral Dynamics</w:t>
      </w:r>
    </w:p>
    <w:p w14:paraId="4B7613A7" w14:textId="1F24517F" w:rsidR="00CF4316" w:rsidRPr="00D458EF" w:rsidRDefault="00B12236" w:rsidP="001760F5">
      <w:pPr>
        <w:pStyle w:val="a3"/>
        <w:spacing w:line="360" w:lineRule="auto"/>
        <w:ind w:leftChars="0" w:left="1440"/>
        <w:jc w:val="both"/>
        <w:rPr>
          <w:rFonts w:ascii="Times New Roman" w:hAnsi="Times New Roman" w:cs="Times New Roman"/>
          <w:bCs/>
        </w:rPr>
      </w:pPr>
      <w:r w:rsidRPr="00D458EF">
        <w:rPr>
          <w:rFonts w:ascii="Times New Roman" w:hAnsi="Times New Roman" w:cs="Times New Roman"/>
          <w:bCs/>
        </w:rPr>
        <w:tab/>
      </w:r>
      <w:r w:rsidR="00FC0AD9" w:rsidRPr="00D458EF">
        <w:rPr>
          <w:rFonts w:ascii="Times New Roman" w:hAnsi="Times New Roman" w:cs="Times New Roman"/>
          <w:bCs/>
        </w:rPr>
        <w:t>Flood adaptation has become a critical component of climate resilience as flood hazards intensify in both frequency and magnitude worldwide. Between 2000 and 2018, global flood exposure increased by more than 20%</w:t>
      </w:r>
      <w:r w:rsidR="00B14857" w:rsidRPr="00D458EF">
        <w:rPr>
          <w:rFonts w:ascii="Times New Roman" w:hAnsi="Times New Roman" w:cs="Times New Roman"/>
          <w:bCs/>
        </w:rPr>
        <w:t xml:space="preserve"> </w:t>
      </w:r>
      <w:r w:rsidR="00B14857" w:rsidRPr="00D458EF">
        <w:rPr>
          <w:rFonts w:ascii="Times New Roman" w:hAnsi="Times New Roman" w:cs="Times New Roman"/>
          <w:bCs/>
        </w:rPr>
        <w:fldChar w:fldCharType="begin"/>
      </w:r>
      <w:r w:rsidR="00682F70" w:rsidRPr="00D458EF">
        <w:rPr>
          <w:rFonts w:ascii="Times New Roman" w:hAnsi="Times New Roman" w:cs="Times New Roman"/>
          <w:bCs/>
        </w:rPr>
        <w:instrText xml:space="preserve"> ADDIN ZOTERO_ITEM CSL_CITATION {"citationID":"3qEQIn5s","properties":{"formattedCitation":"(Tellman et al., 2020)","plainCitation":"(Tellman et al., 2020)","noteIndex":0},"citationItems":[{"id":233,"uris":["http://zotero.org/users/14772686/items/I83ZFXCC"],"itemData":{"id":233,"type":"article-journal","abstract":"Social vulnerability indicators seek to identify populations susceptible to hazards based on aggregated sociodemographic data. Vulnerability indices are rarely validated with disaster outcome data at broad spatial scales, making it difficult to develop effective national scale strategies to mitigate loss for vulnerable populations. This paper validates social vulnerability indicators using two flood outcomes: death and damage. Regression models identify sociodemographic factors associated with variation in outcomes from 11,629 non-coastal flood events in the USA (2008–2012), controlling for flood intensity using stream gauge data. We compare models with (i) socioeconomic variables, (ii) the composite social vulnerability index (SoVI), and (iii) flood intensity variables only. The SoVI explains a larger portion of the variance in death (AIC = 2829) and damage (R2 = 0.125) than flood intensity alone (death—AIC = 2894; damage—R2 = 0.089), and models with individual sociodemographic factors perform best (death—AIC = 2696; damage—R2 = 0.229). Socioeconomic variables correlated with death (rural counties with a high proportion of elderly and young) differ from those related to property damage (rural counties with high percentage of Black, Hispanic and Native American populations below the poverty line). Results confirm that social vulnerability influences death and damage from floods in the USA. Model results indicate that social vulnerability models related to specific hazards and outcomes perform better than generic social vulnerability indices (e.g., SoVI) in predicting non-coastal flood death and damage. Hazard- and outcome-specific indices could be used to better direct efforts to ameliorate flood death and damage towards the people and places that need it most. Future validation studies should examine other flood outcomes, such as evacuation, migration and health, across scales.","container-title":"Sustainability","DOI":"10.3390/su12156006","ISSN":"2071-1050","issue":"15","language":"en","license":"http://creativecommons.org/licenses/by/3.0/","note":"number: 15","page":"6006","publisher":"Multidisciplinary Digital Publishing Institute","source":"www.mdpi.com","title":"Using Disaster Outcomes to Validate Components of Social Vulnerability to Floods: Flood Deaths and Property Damage across the USA","title-short":"Using Disaster Outcomes to Validate Components of Social Vulnerability to Floods","volume":"12","author":[{"family":"Tellman","given":"Beth"},{"family":"Schank","given":"Cody"},{"family":"Schwarz","given":"Bessie"},{"family":"Howe","given":"Peter D."},{"family":"Sherbinin","given":"Alex","non-dropping-particle":"de"}],"issued":{"date-parts":[["2020",1]]}}}],"schema":"https://github.com/citation-style-language/schema/raw/master/csl-citation.json"} </w:instrText>
      </w:r>
      <w:r w:rsidR="00B14857" w:rsidRPr="00D458EF">
        <w:rPr>
          <w:rFonts w:ascii="Times New Roman" w:hAnsi="Times New Roman" w:cs="Times New Roman"/>
          <w:bCs/>
        </w:rPr>
        <w:fldChar w:fldCharType="separate"/>
      </w:r>
      <w:r w:rsidR="00B14857" w:rsidRPr="00D458EF">
        <w:rPr>
          <w:rFonts w:ascii="Times New Roman" w:hAnsi="Times New Roman" w:cs="Times New Roman"/>
        </w:rPr>
        <w:t>(Tellman et al., 2020)</w:t>
      </w:r>
      <w:r w:rsidR="00B14857" w:rsidRPr="00D458EF">
        <w:rPr>
          <w:rFonts w:ascii="Times New Roman" w:hAnsi="Times New Roman" w:cs="Times New Roman"/>
          <w:bCs/>
        </w:rPr>
        <w:fldChar w:fldCharType="end"/>
      </w:r>
      <w:r w:rsidR="00C62029" w:rsidRPr="00D458EF">
        <w:rPr>
          <w:rFonts w:ascii="Times New Roman" w:hAnsi="Times New Roman" w:cs="Times New Roman"/>
          <w:bCs/>
        </w:rPr>
        <w:t xml:space="preserve">, and climate projections indicate that flood risk will continue to rise under climate change </w:t>
      </w:r>
      <w:r w:rsidR="00E65AED" w:rsidRPr="00D458EF">
        <w:rPr>
          <w:rFonts w:ascii="Times New Roman" w:hAnsi="Times New Roman" w:cs="Times New Roman"/>
          <w:bCs/>
        </w:rPr>
        <w:fldChar w:fldCharType="begin"/>
      </w:r>
      <w:r w:rsidR="00682F70" w:rsidRPr="00D458EF">
        <w:rPr>
          <w:rFonts w:ascii="Times New Roman" w:hAnsi="Times New Roman" w:cs="Times New Roman"/>
          <w:bCs/>
        </w:rPr>
        <w:instrText xml:space="preserve"> ADDIN ZOTERO_ITEM CSL_CITATION {"citationID":"oIosoU0e","properties":{"formattedCitation":"(IPCC, 2022)","plainCitation":"(IPCC, 2022)","noteIndex":0},"citationItems":[{"id":1943,"uris":["http://zotero.org/users/14772686/items/SIXHEBE8"],"itemData":{"id":1943,"type":"document","DOI":"10.1017/9781009325844","note":"publisher-place: Cambridge, UK and New York, NY, USA","publisher":"Cambridge University Press","title":"Climate Change 2022: Impacts, Adaptation, and Vulnerability. Contribution of Working Group II to the Sixth Assessment Report of the Intergovernmental Panel on Climate Change","author":[{"literal":"IPCC"}],"issued":{"date-parts":[["2022"]]}}}],"schema":"https://github.com/citation-style-language/schema/raw/master/csl-citation.json"} </w:instrText>
      </w:r>
      <w:r w:rsidR="00E65AED" w:rsidRPr="00D458EF">
        <w:rPr>
          <w:rFonts w:ascii="Times New Roman" w:hAnsi="Times New Roman" w:cs="Times New Roman"/>
          <w:bCs/>
        </w:rPr>
        <w:fldChar w:fldCharType="separate"/>
      </w:r>
      <w:r w:rsidR="00E65AED" w:rsidRPr="00D458EF">
        <w:rPr>
          <w:rFonts w:ascii="Times New Roman" w:hAnsi="Times New Roman" w:cs="Times New Roman"/>
        </w:rPr>
        <w:t>(IPCC, 2022)</w:t>
      </w:r>
      <w:r w:rsidR="00E65AED" w:rsidRPr="00D458EF">
        <w:rPr>
          <w:rFonts w:ascii="Times New Roman" w:hAnsi="Times New Roman" w:cs="Times New Roman"/>
          <w:bCs/>
        </w:rPr>
        <w:fldChar w:fldCharType="end"/>
      </w:r>
      <w:r w:rsidR="00B14857" w:rsidRPr="00D458EF">
        <w:rPr>
          <w:rFonts w:ascii="Times New Roman" w:hAnsi="Times New Roman" w:cs="Times New Roman"/>
          <w:bCs/>
        </w:rPr>
        <w:t>.</w:t>
      </w:r>
      <w:r w:rsidR="007F122E" w:rsidRPr="00D458EF">
        <w:rPr>
          <w:rFonts w:ascii="Times New Roman" w:hAnsi="Times New Roman" w:cs="Times New Roman"/>
          <w:bCs/>
        </w:rPr>
        <w:t xml:space="preserve"> </w:t>
      </w:r>
      <w:r w:rsidR="006217CC" w:rsidRPr="00D458EF">
        <w:rPr>
          <w:rFonts w:ascii="Times New Roman" w:hAnsi="Times New Roman" w:cs="Times New Roman"/>
          <w:bCs/>
        </w:rPr>
        <w:t xml:space="preserve">Effective flood adaptation depends not only on structural protection but also on how individuals and communities perceive risk, learn from past events, and adjust their behavior over time. Incorporating behavioral processes into flood-risk assessment helps capture </w:t>
      </w:r>
      <w:r w:rsidR="008403CA" w:rsidRPr="00D458EF">
        <w:rPr>
          <w:rFonts w:ascii="Times New Roman" w:hAnsi="Times New Roman" w:cs="Times New Roman"/>
          <w:bCs/>
        </w:rPr>
        <w:t>feedback</w:t>
      </w:r>
      <w:r w:rsidR="006217CC" w:rsidRPr="00D458EF">
        <w:rPr>
          <w:rFonts w:ascii="Times New Roman" w:hAnsi="Times New Roman" w:cs="Times New Roman"/>
          <w:bCs/>
        </w:rPr>
        <w:t xml:space="preserve"> between human decisions and environmental change.</w:t>
      </w:r>
      <w:r w:rsidR="00B8458E" w:rsidRPr="00D458EF">
        <w:rPr>
          <w:rFonts w:ascii="Times New Roman" w:hAnsi="Times New Roman" w:cs="Times New Roman"/>
          <w:bCs/>
        </w:rPr>
        <w:t xml:space="preserve"> </w:t>
      </w:r>
      <w:r w:rsidR="00C5415B" w:rsidRPr="00D458EF">
        <w:rPr>
          <w:rFonts w:ascii="Times New Roman" w:hAnsi="Times New Roman" w:cs="Times New Roman"/>
          <w:bCs/>
        </w:rPr>
        <w:t xml:space="preserve">Agent-based modeling (ABM) has therefore been widely used to represent such human–environment </w:t>
      </w:r>
      <w:proofErr w:type="gramStart"/>
      <w:r w:rsidR="00C5415B" w:rsidRPr="00D458EF">
        <w:rPr>
          <w:rFonts w:ascii="Times New Roman" w:hAnsi="Times New Roman" w:cs="Times New Roman"/>
          <w:bCs/>
        </w:rPr>
        <w:t>feedbacks</w:t>
      </w:r>
      <w:proofErr w:type="gramEnd"/>
      <w:r w:rsidR="00BB6F5E" w:rsidRPr="00D458EF">
        <w:rPr>
          <w:rFonts w:ascii="Times New Roman" w:hAnsi="Times New Roman" w:cs="Times New Roman"/>
          <w:bCs/>
        </w:rPr>
        <w:t xml:space="preserve"> (Aerts et al., 2018).</w:t>
      </w:r>
    </w:p>
    <w:p w14:paraId="76B24057" w14:textId="77777777" w:rsidR="003F1290" w:rsidRPr="00D458EF" w:rsidRDefault="003F1290" w:rsidP="001760F5">
      <w:pPr>
        <w:pStyle w:val="a3"/>
        <w:spacing w:line="360" w:lineRule="auto"/>
        <w:ind w:leftChars="0" w:left="1440"/>
        <w:jc w:val="both"/>
        <w:rPr>
          <w:rFonts w:ascii="Times New Roman" w:hAnsi="Times New Roman" w:cs="Times New Roman"/>
          <w:bCs/>
        </w:rPr>
      </w:pPr>
    </w:p>
    <w:p w14:paraId="53A763BE" w14:textId="593C0C54" w:rsidR="00D463C5" w:rsidRPr="00AD76D9" w:rsidRDefault="004A301C" w:rsidP="001760F5">
      <w:pPr>
        <w:pStyle w:val="a3"/>
        <w:numPr>
          <w:ilvl w:val="2"/>
          <w:numId w:val="10"/>
        </w:numPr>
        <w:spacing w:line="360" w:lineRule="auto"/>
        <w:ind w:leftChars="0"/>
        <w:jc w:val="both"/>
        <w:rPr>
          <w:rFonts w:ascii="Times New Roman" w:hAnsi="Times New Roman" w:cs="Times New Roman"/>
          <w:bCs/>
        </w:rPr>
      </w:pPr>
      <w:r w:rsidRPr="00D458EF">
        <w:rPr>
          <w:rFonts w:ascii="Times New Roman" w:hAnsi="Times New Roman" w:cs="Times New Roman"/>
          <w:bCs/>
        </w:rPr>
        <w:t>Social Heterogeneity (MG/NMG) in Flood Adaptation</w:t>
      </w:r>
    </w:p>
    <w:p w14:paraId="77857EE2" w14:textId="326B71E2" w:rsidR="00F53476" w:rsidRPr="00D458EF" w:rsidRDefault="00B12236" w:rsidP="001760F5">
      <w:pPr>
        <w:pStyle w:val="a3"/>
        <w:spacing w:line="360" w:lineRule="auto"/>
        <w:ind w:leftChars="0" w:left="1440"/>
        <w:jc w:val="both"/>
        <w:rPr>
          <w:rFonts w:ascii="Times New Roman" w:hAnsi="Times New Roman" w:cs="Times New Roman"/>
          <w:bCs/>
        </w:rPr>
      </w:pPr>
      <w:r w:rsidRPr="00D458EF">
        <w:rPr>
          <w:rFonts w:ascii="Times New Roman" w:hAnsi="Times New Roman" w:cs="Times New Roman"/>
          <w:bCs/>
        </w:rPr>
        <w:tab/>
      </w:r>
      <w:r w:rsidR="00D25219" w:rsidRPr="00D458EF">
        <w:rPr>
          <w:rFonts w:ascii="Times New Roman" w:hAnsi="Times New Roman" w:cs="Times New Roman"/>
          <w:bCs/>
        </w:rPr>
        <w:t>Recent research further emphasizes that flood adaptation is shaped by pronounced social heterogeneity. While many ABM frameworks incorporate agent-level diversity, they often assume homogeneity at the community level and overlook broader social and political contexts that influence household decision-making</w:t>
      </w:r>
      <w:r w:rsidR="00FF11C5" w:rsidRPr="00D458EF">
        <w:rPr>
          <w:rFonts w:ascii="Times New Roman" w:hAnsi="Times New Roman" w:cs="Times New Roman"/>
          <w:bCs/>
        </w:rPr>
        <w:t xml:space="preserve"> </w:t>
      </w:r>
      <w:r w:rsidR="00FF11C5" w:rsidRPr="00D458EF">
        <w:rPr>
          <w:rFonts w:ascii="Times New Roman" w:hAnsi="Times New Roman" w:cs="Times New Roman"/>
          <w:bCs/>
        </w:rPr>
        <w:fldChar w:fldCharType="begin"/>
      </w:r>
      <w:r w:rsidR="00D60DBA">
        <w:rPr>
          <w:rFonts w:ascii="Times New Roman" w:hAnsi="Times New Roman" w:cs="Times New Roman"/>
          <w:bCs/>
        </w:rPr>
        <w:instrText xml:space="preserve"> ADDIN ZOTERO_ITEM CSL_CITATION {"citationID":"jOOPBgOQ","properties":{"formattedCitation":"(de Ruig et al., 2023; Haer et al., 2017; Michaelis et al., 2020; Tonn et al., 2020)","plainCitation":"(de Ruig et al., 2023; Haer et al., 2017; Michaelis et al., 2020; Tonn et al., 2020)","noteIndex":0},"citationItems":[{"id":1845,"uris":["http://zotero.org/users/14772686/items/VGEKL8LV"],"itemData":{"id":1845,"type":"article-journal","abstract":"Coastal flood risk is expected to increase as a result of climate change effects, such as sea level rise, and socioeconomic growth. To support policymakers in making adaptation decisions, accurate flood risk assessments that account for the influence of complex adaptation processes on the developments of risks are essential. In this study, we integrate the dynamic adaptive behavior of homeowners within a flood risk modeling framework. Focusing on building-level adaptation and flood insurance, the agent-based model (DYNAMO) is benchmarked with empirical data for New York City, USA. The model simulates the National Flood Insurance Program (NFIP) and frequently proposed reforms to evaluate their effectiveness. The model is applied to a case study of Jamaica Bay, NY. Our results indicate that risk-based premiums can improve insurance penetration rates and the affordability of insurance compared to the baseline NFIP market structure. While a premium discount for disaster risk reduction incentivizes more homeowners to invest in dry-floodproofing measures, it does not significantly improve affordability. A low interest rate loan for financing risk-mitigation investments improves the uptake and affordability of dry-floodproofing measures. The benchmark and sensitivity analyses demonstrate how the behavioral component of our model matches empirical data and provides insights into the underlying theories and choices that autonomous agents make.","container-title":"Risk Analysis","DOI":"10.1111/risa.13905","ISSN":"1539-6924","issue":"2","language":"en","license":"© 2022 The Authors. Risk Analysis published by Wiley Periodicals LLC on behalf of Society for Risk Analysis.","note":"_eprint: https://onlinelibrary.wiley.com/doi/pdf/10.1111/risa.13905","page":"405-422","source":"Wiley Online Library","title":"An agent-based model for evaluating reforms of the National Flood Insurance Program: A benchmarked model applied to Jamaica Bay, NYC","title-short":"An agent-based model for evaluating reforms of the National Flood Insurance Program","volume":"43","author":[{"family":"Ruig","given":"Lars Tjitze","non-dropping-particle":"de"},{"family":"Haer","given":"Toon"},{"family":"Moel","given":"Hans","non-dropping-particle":"de"},{"family":"Orton","given":"Philip"},{"family":"Botzen","given":"W. J. Wouter"},{"family":"Aerts","given":"Jeroen C. J. H."}],"issued":{"date-parts":[["2023"]]}}},{"id":236,"uris":["http://zotero.org/users/14772686/items/ZIM66T3N"],"itemData":{"id":236,"type":"article-journal","abstract":"Recent studies showed that climate change and socioeconomic trends are expected to increase flood risks in many regions. However, in these studies, human behavior is commonly assumed to be constant, which neglects interaction and feedback loops between human and environmental systems. This neglect of human adaptation leads to a misrepresentation of flood risk. This article presents an agent-based model that incorporates human decision making in flood risk analysis. In particular, household investments in loss-reducing measures are examined under three economic decision models: (1) expected utility theory, which is the traditional economic model of rational agents; (2) prospect theory, which takes account of bounded rationality; and (3) a prospect theory model, which accounts for changing risk perceptions and social interactions through a process of Bayesian updating. We show that neglecting human behavior in flood risk assessment studies can result in a considerable misestimation of future flood risk, which is in our case study an overestimation of a factor two. Furthermore, we show how behavior models can support flood risk analysis under different behavioral assumptions, illustrating the need to include the dynamic adaptive human behavior of, for instance, households, insurers, and governments. The method presented here provides a solid basis for exploring human behavior and the resulting flood risk with respect to low-probability/high-impact risks.","container-title":"Risk Analysis","DOI":"10.1111/risa.12740","ISSN":"1539-6924","issue":"10","language":"en","license":"© 2016 The Authors Risk Analysis published by Wiley Periodicals, Inc. on behalf of Society for Risk Analysis.","note":"_eprint: https://onlinelibrary.wiley.com/doi/pdf/10.1111/risa.12740","page":"1977-1992","source":"Wiley Online Library","title":"Integrating Household Risk Mitigation Behavior in Flood Risk Analysis: An Agent-Based Model Approach","title-short":"Integrating Household Risk Mitigation Behavior in Flood Risk Analysis","volume":"37","author":[{"family":"Haer","given":"Toon"},{"family":"Botzen","given":"W. J. Wouter"},{"family":"Moel","given":"Hans","non-dropping-particle":"de"},{"family":"Aerts","given":"Jeroen C. J. H."}],"issued":{"date-parts":[["2017"]]}}},{"id":"NkoeHmjM/BREg5uwI","uris":["http://zotero.org/users/14772686/items/IUZ5W2T8"],"itemData":{"id":96,"type":"article-journal","abstract":"Two-way interactions and feedback between hydrological and social processes in settled floodplains determine the complex human–flood system and change vulnerability over time. To focus on the dynamic role of individual and governmental decision making on flood-risk management, we developed and implemented a coupled agent-based and hydraulic modelling framework. Within this framework, household agents are located in a floodplain protected by a levee system. Individual behaviour is based on Protection Motivation Theory and includes the options to (1) not react to flood risk; (2) implement individual flood protection measures; or (3) file a complaint to the government. The government decides about reinforcing the levee system, compromising between a cost-benefit analysis and filed complaints from households. We found that individual decision making can significantly influence flood risk. In addition, the coupled agent-based and hydraulic modelling framework approach captures commonly observed socio-hydrological dynamics, namely levee and adaptation effects. It provides an explanatory tool for assessing spatial and temporal dynamics of flood risk in a socio-hydrological system.","container-title":"Hydrological Sciences Journal","DOI":"10.1080/02626667.2020.1750617","ISSN":"0262-6667","issue":"9","note":"_eprint: https://doi.org/10.1080/02626667.2020.1750617","page":"1458-1473","publisher":"Taylor &amp; Francis","source":"Taylor and Francis+NEJM","title":"Capturing flood-risk dynamics with a coupled agent-based and hydraulic modelling framework","volume":"65","author":[{"family":"Michaelis","given":"Tamara"},{"family":"Brandimarte","given":"Luigia"},{"family":"Mazzoleni","given":"Maurizio"}],"issued":{"date-parts":[["2020",7,3]]}}},{"id":1913,"uris":["http://zotero.org/users/14772686/items/NVBEEWEA"],"itemData":{"id":1913,"type":"article-journal","abstract":"Abstract\n            Flood risk is a function of both climate and human behavior, including individual and societal actions. For this reason, there is a need to incorporate both human and climatic components in models of flood risk. This study simulates behavioral influences on the evolution of community flood risk under different future climate scenarios using an agent‐based model (ABM). The objective is to understand better the ways, sometimes unexpected, that human behavior, stochastic floods, and community interventions interact to influence the evolution of flood risk. One historic climate scenario and three future climate scenarios are simulated using a case study location in Fargo, North Dakota. Individual agents can mitigate flood risk via household mitigation or by moving, based on decision rules that consider risk perception and coping perception. The community can mitigate or disseminate information to reduce flood risk. Results show that agent behavior and community action have a significant impact on the evolution of flood risk under different climate scenarios. In all scenarios, individual and community action generally result in a decline in damages over time. In a lower flood risk scenario, the decline is primarily due to agent mitigation, while in a high flood risk scenario, community mitigation and agent relocation are primary drivers of the decline. Adaptive behaviors offset some of the increase in flood risk associated with climate change, and under an extreme climate scenario, our model indicates that many agents relocate.","container-title":"Risk Analysis","DOI":"10.1111/risa.13428","ISSN":"0272-4332, 1539-6924","issue":"4","journalAbbreviation":"Risk Analysis","language":"en","page":"884-898","source":"DOI.org (Crossref)","title":"Simulating Behavioral Influences on Community Flood Risk under Future Climate Scenarios","volume":"40","author":[{"family":"Tonn","given":"Gina"},{"family":"Guikema","given":"Seth"},{"family":"Zaitchik","given":"Benjamin"}],"issued":{"date-parts":[["2020",4]]}}}],"schema":"https://github.com/citation-style-language/schema/raw/master/csl-citation.json"} </w:instrText>
      </w:r>
      <w:r w:rsidR="00FF11C5" w:rsidRPr="00D458EF">
        <w:rPr>
          <w:rFonts w:ascii="Times New Roman" w:hAnsi="Times New Roman" w:cs="Times New Roman"/>
          <w:bCs/>
        </w:rPr>
        <w:fldChar w:fldCharType="separate"/>
      </w:r>
      <w:r w:rsidR="007F122E" w:rsidRPr="00D458EF">
        <w:rPr>
          <w:rFonts w:ascii="Times New Roman" w:hAnsi="Times New Roman" w:cs="Times New Roman"/>
        </w:rPr>
        <w:t>(de Ruig et al., 2023; Haer et al., 2017; Michaelis et al., 2020; Tonn et al., 2020)</w:t>
      </w:r>
      <w:r w:rsidR="00FF11C5" w:rsidRPr="00D458EF">
        <w:rPr>
          <w:rFonts w:ascii="Times New Roman" w:hAnsi="Times New Roman" w:cs="Times New Roman"/>
          <w:bCs/>
        </w:rPr>
        <w:fldChar w:fldCharType="end"/>
      </w:r>
      <w:r w:rsidR="008F582B" w:rsidRPr="00D458EF">
        <w:rPr>
          <w:rFonts w:ascii="Times New Roman" w:hAnsi="Times New Roman" w:cs="Times New Roman"/>
          <w:bCs/>
        </w:rPr>
        <w:t>.</w:t>
      </w:r>
      <w:r w:rsidR="00C85D11" w:rsidRPr="00D458EF">
        <w:rPr>
          <w:rFonts w:ascii="Times New Roman" w:hAnsi="Times New Roman" w:cs="Times New Roman"/>
          <w:bCs/>
        </w:rPr>
        <w:t xml:space="preserve"> </w:t>
      </w:r>
      <w:r w:rsidR="00B338A0" w:rsidRPr="00D458EF">
        <w:rPr>
          <w:rFonts w:ascii="Times New Roman" w:hAnsi="Times New Roman" w:cs="Times New Roman"/>
          <w:bCs/>
        </w:rPr>
        <w:t>Marginalized groups</w:t>
      </w:r>
      <w:r w:rsidR="00365B8E" w:rsidRPr="00D458EF">
        <w:rPr>
          <w:rFonts w:ascii="Times New Roman" w:hAnsi="Times New Roman" w:cs="Times New Roman"/>
          <w:bCs/>
        </w:rPr>
        <w:t xml:space="preserve"> (MG), </w:t>
      </w:r>
      <w:r w:rsidR="00B338A0" w:rsidRPr="00D458EF">
        <w:rPr>
          <w:rFonts w:ascii="Times New Roman" w:hAnsi="Times New Roman" w:cs="Times New Roman"/>
          <w:bCs/>
        </w:rPr>
        <w:t>defined by poverty, high housing cost burden, and immobility</w:t>
      </w:r>
      <w:r w:rsidR="0014064D" w:rsidRPr="00D458EF">
        <w:rPr>
          <w:rFonts w:ascii="Times New Roman" w:hAnsi="Times New Roman" w:cs="Times New Roman"/>
          <w:bCs/>
        </w:rPr>
        <w:t>, face persistent constraints that limit their ability to prepare for, respond to, and recover from floods. In the absence of sufficient financial resources or institutional support, these households frequently rely on short-term coping strategies rather than long-term risk reduction</w:t>
      </w:r>
      <w:r w:rsidR="00271069" w:rsidRPr="00D458EF">
        <w:rPr>
          <w:rFonts w:ascii="Times New Roman" w:hAnsi="Times New Roman" w:cs="Times New Roman"/>
          <w:bCs/>
        </w:rPr>
        <w:t xml:space="preserve"> </w:t>
      </w:r>
      <w:r w:rsidR="000629ED" w:rsidRPr="00D458EF">
        <w:rPr>
          <w:rFonts w:ascii="Times New Roman" w:hAnsi="Times New Roman" w:cs="Times New Roman"/>
          <w:bCs/>
        </w:rPr>
        <w:fldChar w:fldCharType="begin"/>
      </w:r>
      <w:r w:rsidR="00682F70" w:rsidRPr="00D458EF">
        <w:rPr>
          <w:rFonts w:ascii="Times New Roman" w:hAnsi="Times New Roman" w:cs="Times New Roman"/>
          <w:bCs/>
        </w:rPr>
        <w:instrText xml:space="preserve"> ADDIN ZOTERO_ITEM CSL_CITATION {"citationID":"4IIIkF0r","properties":{"formattedCitation":"(Mendis et al., 2023; Pathak &amp; Emah, 2017)","plainCitation":"(Mendis et al., 2023; Pathak &amp; Emah, 2017)","noteIndex":0},"citationItems":[{"id":1176,"uris":["http://zotero.org/users/14772686/items/3JE5CLV7"],"itemData":{"id":1176,"type":"article-journal","abstract":"Many international organizations embrace the ideals of resilience and inclusion in the service of marginalized communities but neglect their inclusion in post-disaster settings. It is imperative to explore the challenges faced by marginalized communities to increase their inclusion in the post-disaster context. Therefore, this paper presents a systematic literature review of the challenges facing marginalized communities in the post-disaster context. The study identified 57 challenges faced by children, women, people with disabilities, and older adults under six categories: social, health, political, infrastructure, economic, and communication. The most common challenges all four marginalized communities face are the development of post-traumatic stress disorder, the struggle to acquire the necessities of life due to unequal distribution, the lack of income-generating opportunities, and sexual and gender-based violence. Most studies focus on women’s challenges, followed by those of children, older adults, and persons with disabilities. The study also explored the challenges faced in terms of intersectionality, experienced by groups of people who fall under more than one marginalized community. Finally, a conceptual framework was developed to improve the inclusion of marginalized communities during the post-disaster context by incorporating the challenges as one of the key components of the framework.","container-title":"Sustainability","DOI":"10.3390/su151410754","ISSN":"2071-1050","issue":"14","language":"en","license":"http://creativecommons.org/licenses/by/3.0/","note":"number: 14","page":"10754","publisher":"Multidisciplinary Digital Publishing Institute","source":"www.mdpi.com","title":"Challenges Faced by Marginalized Communities in a Post-Disaster Context: A Systematic Review of the Literature","title-short":"Challenges Faced by Marginalized Communities in a Post-Disaster Context","volume":"15","author":[{"family":"Mendis","given":"Kalindu"},{"family":"Thayaparan","given":"Menaha"},{"family":"Kaluarachchi","given":"Yamuna"},{"family":"Pathirage","given":"Chaminda"}],"issued":{"date-parts":[["2023",1]]}}},{"id":1905,"uris":["http://zotero.org/users/14772686/items/TQ7A5D8C"],"itemData":{"id":1905,"type":"article-journal","abstract":"Disaster recovery is multifaceted and depends upon various actors who are involved in coping up after a natural disaster. Gender plays a significant role during every phase of disaster management. Thailand suffered from its largest and most expensive floods in 2011 which devastated the industrial sectors hitting hardest on Small and Medium Enterprises (SMEs). This study aims at learning from the experiences of women entrepreneurs who went through 2011 floods. The methods involved questionnaire survey, key informant interviews and focus group discussions. Findings included barriers, success and failure stories among the women entrepreneurs in SMEs of the Pathumthani province in Thailand. Gendered approach was found to be key factor in faster recovery of SMEs from 2011 floods.","container-title":"International Journal of Disaster Risk Reduction","DOI":"10.1016/j.ijdrr.2017.06.007","ISSN":"2212-4209","journalAbbreviation":"International Journal of Disaster Risk Reduction","page":"129-134","source":"ScienceDirect","title":"Gendered approach towards disaster recovery: Experiences from 2011 floods in Pathumthani province, Thailand","title-short":"Gendered approach towards disaster recovery","volume":"24","author":[{"family":"Pathak","given":"Shubham"},{"family":"Emah","given":"Immaculata Enefiok"}],"issued":{"date-parts":[["2017",9,1]]}}}],"schema":"https://github.com/citation-style-language/schema/raw/master/csl-citation.json"} </w:instrText>
      </w:r>
      <w:r w:rsidR="000629ED" w:rsidRPr="00D458EF">
        <w:rPr>
          <w:rFonts w:ascii="Times New Roman" w:hAnsi="Times New Roman" w:cs="Times New Roman"/>
          <w:bCs/>
        </w:rPr>
        <w:fldChar w:fldCharType="separate"/>
      </w:r>
      <w:r w:rsidR="007F122E" w:rsidRPr="00D458EF">
        <w:rPr>
          <w:rFonts w:ascii="Times New Roman" w:hAnsi="Times New Roman" w:cs="Times New Roman"/>
        </w:rPr>
        <w:t>(Mendis et al., 2023; Pathak &amp; Emah, 2017)</w:t>
      </w:r>
      <w:r w:rsidR="000629ED" w:rsidRPr="00D458EF">
        <w:rPr>
          <w:rFonts w:ascii="Times New Roman" w:hAnsi="Times New Roman" w:cs="Times New Roman"/>
          <w:bCs/>
        </w:rPr>
        <w:fldChar w:fldCharType="end"/>
      </w:r>
      <w:r w:rsidR="000629ED" w:rsidRPr="00D458EF">
        <w:rPr>
          <w:rFonts w:ascii="Times New Roman" w:hAnsi="Times New Roman" w:cs="Times New Roman"/>
          <w:bCs/>
        </w:rPr>
        <w:t>.</w:t>
      </w:r>
      <w:r w:rsidR="00271069" w:rsidRPr="00D458EF">
        <w:rPr>
          <w:rFonts w:ascii="Times New Roman" w:hAnsi="Times New Roman" w:cs="Times New Roman"/>
          <w:bCs/>
        </w:rPr>
        <w:t xml:space="preserve"> </w:t>
      </w:r>
      <w:r w:rsidR="00BE541A" w:rsidRPr="00D458EF">
        <w:rPr>
          <w:rFonts w:ascii="Times New Roman" w:hAnsi="Times New Roman" w:cs="Times New Roman"/>
          <w:bCs/>
        </w:rPr>
        <w:t xml:space="preserve">Importantly, such heterogeneity functions not only at the individual level but also </w:t>
      </w:r>
      <w:r w:rsidR="00BE541A" w:rsidRPr="00D458EF">
        <w:rPr>
          <w:rFonts w:ascii="Times New Roman" w:hAnsi="Times New Roman" w:cs="Times New Roman"/>
          <w:bCs/>
        </w:rPr>
        <w:lastRenderedPageBreak/>
        <w:t>as a neighborhood-scale structural context</w:t>
      </w:r>
      <w:r w:rsidR="00900812" w:rsidRPr="00D458EF">
        <w:rPr>
          <w:rFonts w:ascii="Times New Roman" w:hAnsi="Times New Roman" w:cs="Times New Roman"/>
          <w:bCs/>
        </w:rPr>
        <w:t xml:space="preserve"> that shapes shared perceptions, constraints, and adaptation opportunities. However, its long-term implications for flood resilience remain insufficiently understood.</w:t>
      </w:r>
      <w:r w:rsidR="0077567E" w:rsidRPr="00D458EF">
        <w:rPr>
          <w:rFonts w:ascii="Times New Roman" w:hAnsi="Times New Roman" w:cs="Times New Roman"/>
          <w:bCs/>
        </w:rPr>
        <w:t xml:space="preserve"> </w:t>
      </w:r>
      <w:r w:rsidR="00C83199" w:rsidRPr="00C83199">
        <w:rPr>
          <w:rFonts w:ascii="Times New Roman" w:hAnsi="Times New Roman" w:cs="Times New Roman"/>
        </w:rPr>
        <w:t>Among the structural conditions through which social heterogeneity shapes household adaptation, housing tenure represents a key structural mechanism.</w:t>
      </w:r>
    </w:p>
    <w:p w14:paraId="0752094B" w14:textId="77777777" w:rsidR="00482253" w:rsidRPr="00D458EF" w:rsidRDefault="00482253" w:rsidP="001760F5">
      <w:pPr>
        <w:pStyle w:val="a3"/>
        <w:spacing w:line="360" w:lineRule="auto"/>
        <w:ind w:leftChars="0" w:left="1440"/>
        <w:jc w:val="both"/>
        <w:rPr>
          <w:rFonts w:ascii="Times New Roman" w:hAnsi="Times New Roman" w:cs="Times New Roman"/>
          <w:bCs/>
        </w:rPr>
      </w:pPr>
    </w:p>
    <w:p w14:paraId="34239921" w14:textId="19FE0351" w:rsidR="00D25BED" w:rsidRPr="00BC65EA" w:rsidRDefault="00DB0B56" w:rsidP="001760F5">
      <w:pPr>
        <w:pStyle w:val="a3"/>
        <w:numPr>
          <w:ilvl w:val="2"/>
          <w:numId w:val="10"/>
        </w:numPr>
        <w:spacing w:line="360" w:lineRule="auto"/>
        <w:ind w:leftChars="0"/>
        <w:jc w:val="both"/>
        <w:rPr>
          <w:rFonts w:ascii="Times New Roman" w:hAnsi="Times New Roman" w:cs="Times New Roman"/>
          <w:bCs/>
        </w:rPr>
      </w:pPr>
      <w:r w:rsidRPr="00D458EF">
        <w:rPr>
          <w:rFonts w:ascii="Times New Roman" w:hAnsi="Times New Roman" w:cs="Times New Roman"/>
          <w:bCs/>
        </w:rPr>
        <w:t>Housing Tenure as a Structural Constraint</w:t>
      </w:r>
      <w:r w:rsidR="000310C0" w:rsidRPr="00D458EF">
        <w:rPr>
          <w:rFonts w:ascii="Times New Roman" w:hAnsi="Times New Roman" w:cs="Times New Roman"/>
          <w:bCs/>
        </w:rPr>
        <w:t xml:space="preserve"> (</w:t>
      </w:r>
      <w:r w:rsidR="000310C0" w:rsidRPr="00D458EF">
        <w:rPr>
          <w:rFonts w:ascii="Times New Roman" w:hAnsi="Times New Roman" w:cs="Times New Roman"/>
          <w:bCs/>
          <w:color w:val="EE0000"/>
        </w:rPr>
        <w:t>SQ1</w:t>
      </w:r>
      <w:r w:rsidR="000310C0" w:rsidRPr="00D458EF">
        <w:rPr>
          <w:rFonts w:ascii="Times New Roman" w:hAnsi="Times New Roman" w:cs="Times New Roman"/>
          <w:bCs/>
        </w:rPr>
        <w:t>)</w:t>
      </w:r>
    </w:p>
    <w:p w14:paraId="496F7340" w14:textId="226E1067" w:rsidR="00CC6C91" w:rsidRPr="00D458EF" w:rsidRDefault="00B12236" w:rsidP="00005EB0">
      <w:pPr>
        <w:pStyle w:val="a3"/>
        <w:spacing w:line="360" w:lineRule="auto"/>
        <w:ind w:leftChars="0" w:left="1440"/>
        <w:jc w:val="both"/>
        <w:rPr>
          <w:rFonts w:ascii="Times New Roman" w:hAnsi="Times New Roman" w:cs="Times New Roman"/>
          <w:bCs/>
          <w:i/>
          <w:iCs/>
        </w:rPr>
      </w:pPr>
      <w:r w:rsidRPr="00D458EF">
        <w:rPr>
          <w:rFonts w:ascii="Times New Roman" w:hAnsi="Times New Roman" w:cs="Times New Roman"/>
          <w:bCs/>
        </w:rPr>
        <w:tab/>
      </w:r>
      <w:r w:rsidR="00F10505" w:rsidRPr="00F10505">
        <w:rPr>
          <w:rFonts w:ascii="Times New Roman" w:hAnsi="Times New Roman" w:cs="Times New Roman"/>
        </w:rPr>
        <w:t>Within socially heterogeneous contexts, housing tenure</w:t>
      </w:r>
      <w:r w:rsidR="00F10505">
        <w:rPr>
          <w:rFonts w:ascii="Times New Roman" w:hAnsi="Times New Roman" w:cs="Times New Roman" w:hint="eastAsia"/>
        </w:rPr>
        <w:t xml:space="preserve">, </w:t>
      </w:r>
      <w:r w:rsidR="00F10505" w:rsidRPr="00F10505">
        <w:rPr>
          <w:rFonts w:ascii="Times New Roman" w:hAnsi="Times New Roman" w:cs="Times New Roman"/>
        </w:rPr>
        <w:t xml:space="preserve">whether households occupy their dwelling as </w:t>
      </w:r>
      <w:r w:rsidR="008D2CDE">
        <w:rPr>
          <w:rFonts w:ascii="Times New Roman" w:hAnsi="Times New Roman" w:cs="Times New Roman" w:hint="eastAsia"/>
        </w:rPr>
        <w:t>home</w:t>
      </w:r>
      <w:r w:rsidR="00F10505" w:rsidRPr="00F10505">
        <w:rPr>
          <w:rFonts w:ascii="Times New Roman" w:hAnsi="Times New Roman" w:cs="Times New Roman"/>
        </w:rPr>
        <w:t>owners or renters</w:t>
      </w:r>
      <w:r w:rsidR="00F10505">
        <w:rPr>
          <w:rFonts w:ascii="Times New Roman" w:hAnsi="Times New Roman" w:cs="Times New Roman" w:hint="eastAsia"/>
        </w:rPr>
        <w:t xml:space="preserve">, </w:t>
      </w:r>
      <w:r w:rsidR="00F10505" w:rsidRPr="00F10505">
        <w:rPr>
          <w:rFonts w:ascii="Times New Roman" w:hAnsi="Times New Roman" w:cs="Times New Roman"/>
        </w:rPr>
        <w:t>constitutes a structural condition that shapes property rights, decision authority, and feasible adaptation actions, rather than merely serving as a proxy for socioeconomic status</w:t>
      </w:r>
      <w:r w:rsidR="00987E06" w:rsidRPr="00D458EF">
        <w:rPr>
          <w:rFonts w:ascii="Times New Roman" w:hAnsi="Times New Roman" w:cs="Times New Roman"/>
          <w:b/>
          <w:bCs/>
        </w:rPr>
        <w:t xml:space="preserve"> </w:t>
      </w:r>
      <w:r w:rsidR="00987E06" w:rsidRPr="00D458EF">
        <w:rPr>
          <w:rFonts w:ascii="Times New Roman" w:hAnsi="Times New Roman" w:cs="Times New Roman"/>
          <w:b/>
          <w:bCs/>
        </w:rPr>
        <w:fldChar w:fldCharType="begin"/>
      </w:r>
      <w:r w:rsidR="00005EB0">
        <w:rPr>
          <w:rFonts w:ascii="Times New Roman" w:hAnsi="Times New Roman" w:cs="Times New Roman"/>
          <w:b/>
          <w:bCs/>
        </w:rPr>
        <w:instrText xml:space="preserve"> ADDIN ZOTERO_ITEM CSL_CITATION {"citationID":"28vJ6bGC","properties":{"formattedCitation":"(Lee &amp; Van Zandt, 2019; Peacock et al., 2014)","plainCitation":"(Lee &amp; Van Zandt, 2019; Peacock et al., 2014)","noteIndex":0},"citationItems":[{"id":"NkoeHmjM/vUj9qsmP","uris":["http://zotero.org/users/14772686/items/5TLU6J9N"],"itemData":{"id":2930,"type":"article-journal","abstract":"As a group, renters experience a broader range of housing problems than do owners, and disasters worsen these problems. Yet to date, housing tenure has been relatively understudied compared to other vulnerability characteristics. This review addresses the differences in housing needs faced by renters and owners during and after a disaster. It examines variation between renters and owners, recent studies of a disaster’s impacts on each group by disaster phase, and disaster-related housing policies and programs. This research explores significant questions related to the housing needs of renters in times of disaster, yielding important insights for policy makers and local planners.","container-title":"Journal of Planning Literature","DOI":"10.1177/0885412218812080","ISSN":"0885-4122","issue":"2","language":"EN","page":"156-170","publisher":"SAGE Publications Inc","source":"SAGE Journals","title":"Housing Tenure and Social Vulnerability to Disasters: A Review of the Evidence","title-short":"Housing Tenure and Social Vulnerability to Disasters","volume":"34","author":[{"family":"Lee","given":"Jee Young"},{"family":"Van Zandt","given":"Shannon"}],"issued":{"date-parts":[["2019",5,1]]}}},{"id":"NkoeHmjM/1JX5P9sJ","uris":["http://zotero.org/users/14772686/items/AZ67NPTK"],"itemData":{"id":212,"type":"article-journal","container-title":"Journal of the American Planning Association","DOI":"10.1080/01944363.2014.980440","ISSN":"0194-4363, 1939-0130","issue":"4","journalAbbreviation":"Journal of the American Planning Association","language":"en","page":"356-371","source":"DOI.org (Crossref)","title":"Inequities in Long-Term Housing Recovery After Disasters","volume":"80","author":[{"family":"Peacock","given":"Walter Gillis"},{"family":"Van Zandt","given":"Shannon"},{"family":"Zhang","given":"Yang"},{"family":"Highfield","given":"Wesley E."}],"issued":{"date-parts":[["2014",10,2]]}}}],"schema":"https://github.com/citation-style-language/schema/raw/master/csl-citation.json"} </w:instrText>
      </w:r>
      <w:r w:rsidR="00987E06" w:rsidRPr="00D458EF">
        <w:rPr>
          <w:rFonts w:ascii="Times New Roman" w:hAnsi="Times New Roman" w:cs="Times New Roman"/>
          <w:b/>
          <w:bCs/>
        </w:rPr>
        <w:fldChar w:fldCharType="separate"/>
      </w:r>
      <w:r w:rsidR="00005EB0" w:rsidRPr="00005EB0">
        <w:rPr>
          <w:rFonts w:ascii="Times New Roman" w:hAnsi="Times New Roman" w:cs="Times New Roman"/>
        </w:rPr>
        <w:t>(Lee &amp; Van Zandt, 2019; Peacock et al., 2014)</w:t>
      </w:r>
      <w:r w:rsidR="00987E06" w:rsidRPr="00D458EF">
        <w:rPr>
          <w:rFonts w:ascii="Times New Roman" w:hAnsi="Times New Roman" w:cs="Times New Roman"/>
          <w:b/>
          <w:bCs/>
        </w:rPr>
        <w:fldChar w:fldCharType="end"/>
      </w:r>
      <w:r w:rsidR="00987E06" w:rsidRPr="00D458EF">
        <w:rPr>
          <w:rFonts w:ascii="Times New Roman" w:hAnsi="Times New Roman" w:cs="Times New Roman"/>
          <w:b/>
          <w:bCs/>
        </w:rPr>
        <w:t>.</w:t>
      </w:r>
      <w:r w:rsidR="00987E06" w:rsidRPr="00D458EF">
        <w:rPr>
          <w:rFonts w:ascii="Times New Roman" w:hAnsi="Times New Roman" w:cs="Times New Roman"/>
          <w:bCs/>
        </w:rPr>
        <w:t xml:space="preserve"> </w:t>
      </w:r>
      <w:r w:rsidR="002C31C2" w:rsidRPr="002C31C2">
        <w:rPr>
          <w:rFonts w:ascii="Times New Roman" w:hAnsi="Times New Roman" w:cs="Times New Roman"/>
          <w:bCs/>
        </w:rPr>
        <w:t>Homeowners generally possess the capacity to invest in long-term structural measures such as elevation, retrofitting, or voluntary buyouts, whereas renters have limited control over their dwellings and depend on landlords or public support</w:t>
      </w:r>
      <w:r w:rsidR="0055779E" w:rsidRPr="00D458EF">
        <w:rPr>
          <w:rFonts w:ascii="Times New Roman" w:hAnsi="Times New Roman" w:cs="Times New Roman"/>
          <w:bCs/>
        </w:rPr>
        <w:t xml:space="preserve"> </w:t>
      </w:r>
      <w:r w:rsidR="0055779E" w:rsidRPr="00D458EF">
        <w:rPr>
          <w:rFonts w:ascii="Times New Roman" w:hAnsi="Times New Roman" w:cs="Times New Roman"/>
          <w:bCs/>
        </w:rPr>
        <w:fldChar w:fldCharType="begin"/>
      </w:r>
      <w:r w:rsidR="00D60DBA">
        <w:rPr>
          <w:rFonts w:ascii="Times New Roman" w:hAnsi="Times New Roman" w:cs="Times New Roman"/>
          <w:bCs/>
        </w:rPr>
        <w:instrText xml:space="preserve"> ADDIN ZOTERO_ITEM CSL_CITATION {"citationID":"bb01VbAJ","properties":{"formattedCitation":"(Shcheglovitova &amp; Lee, 2024)","plainCitation":"(Shcheglovitova &amp; Lee, 2024)","noteIndex":0},"citationItems":[{"id":"NkoeHmjM/agnHQq1R","uris":["http://zotero.org/users/14772686/items/AUH5DE9G"],"itemData":{"id":2938,"type":"article-journal","container-title":"Cityscape","issue":"1","page":"35–60","publisher":"U.S. Department of Housing and Urban Development","title":"Merging Federal Flooding and Housing Data to Gain Insight into Flood Impacts on Federally Assisted Households","volume":"26","author":[{"family":"Shcheglovitova","given":"Mariya"},{"family":"Lee","given":"Gina"}],"issued":{"date-parts":[["2024"]]}}}],"schema":"https://github.com/citation-style-language/schema/raw/master/csl-citation.json"} </w:instrText>
      </w:r>
      <w:r w:rsidR="0055779E" w:rsidRPr="00D458EF">
        <w:rPr>
          <w:rFonts w:ascii="Times New Roman" w:hAnsi="Times New Roman" w:cs="Times New Roman"/>
          <w:bCs/>
        </w:rPr>
        <w:fldChar w:fldCharType="separate"/>
      </w:r>
      <w:r w:rsidR="0055779E" w:rsidRPr="00D458EF">
        <w:rPr>
          <w:rFonts w:ascii="Times New Roman" w:hAnsi="Times New Roman" w:cs="Times New Roman"/>
        </w:rPr>
        <w:t>(Shcheglovitova &amp; Lee, 2024)</w:t>
      </w:r>
      <w:r w:rsidR="0055779E" w:rsidRPr="00D458EF">
        <w:rPr>
          <w:rFonts w:ascii="Times New Roman" w:hAnsi="Times New Roman" w:cs="Times New Roman"/>
          <w:bCs/>
        </w:rPr>
        <w:fldChar w:fldCharType="end"/>
      </w:r>
      <w:r w:rsidR="00987E06" w:rsidRPr="00D458EF">
        <w:rPr>
          <w:rFonts w:ascii="Times New Roman" w:hAnsi="Times New Roman" w:cs="Times New Roman"/>
          <w:bCs/>
        </w:rPr>
        <w:t>. Empirical studies consistently show that renters exhibit lower preparedness and slower recovery following flood events, reflecting constrained autonomy and reduced access to resources</w:t>
      </w:r>
      <w:r w:rsidR="00273A77" w:rsidRPr="00D458EF">
        <w:rPr>
          <w:rFonts w:ascii="Times New Roman" w:hAnsi="Times New Roman" w:cs="Times New Roman"/>
          <w:bCs/>
        </w:rPr>
        <w:t xml:space="preserve"> </w:t>
      </w:r>
      <w:r w:rsidR="00273A77" w:rsidRPr="00D458EF">
        <w:rPr>
          <w:rFonts w:ascii="Times New Roman" w:hAnsi="Times New Roman" w:cs="Times New Roman"/>
          <w:bCs/>
        </w:rPr>
        <w:fldChar w:fldCharType="begin"/>
      </w:r>
      <w:r w:rsidR="00682F70" w:rsidRPr="00D458EF">
        <w:rPr>
          <w:rFonts w:ascii="Times New Roman" w:hAnsi="Times New Roman" w:cs="Times New Roman"/>
          <w:bCs/>
        </w:rPr>
        <w:instrText xml:space="preserve"> ADDIN ZOTERO_ITEM CSL_CITATION {"citationID":"y7DLLEmj","properties":{"formattedCitation":"(Cutter et al., 2003; Elliott et al., 2023; McCarthy &amp; Friedman, 2023; Rufat et al., 2015)","plainCitation":"(Cutter et al., 2003; Elliott et al., 2023; McCarthy &amp; Friedman, 2023; Rufat et al., 2015)","noteIndex":0},"citationItems":[{"id":219,"uris":["http://zotero.org/users/14772686/items/CTZT6NDR"],"itemData":{"id":219,"type":"article-journal","abstract":"Objective.\n              County‐level socioeconomic and demographic data were used to construct an index of social vulnerability to environmental hazards, called the Social Vulnerability Index (SoVI) for the United States based on 1990 data.\n            \n            \n              Methods.\n              Using a factor analytic approach, 42 variables were reduced to 11 independent factors that accounted for about 76 percent of the variance. These factors were placed in an additive model to compute a summary score—the Social Vulnerability Index.\n            \n            \n              Results.\n              There are some distinct spatial patterns in the SoVI, with the most vulnerable counties clustered in metropolitan counties in the east, south Texas, and the Mississippi Delta region.\n            \n            \n              Conclusion.\n              Those factors that contribute to the overall score often are different for each county, underscoring the interactive nature of social vulnerability—some components increase vulnerability; others moderate the effects.","container-title":"Social Science Quarterly","DOI":"10.1111/1540-6237.8402002","ISSN":"0038-4941, 1540-6237","issue":"2","journalAbbreviation":"Social Science Quarterly","language":"en","license":"http://onlinelibrary.wiley.com/termsAndConditions#vor","page":"242-261","source":"DOI.org (Crossref)","title":"Social Vulnerability to Environmental Hazards &lt;sup&gt;*&lt;/sup&gt;","volume":"84","author":[{"family":"Cutter","given":"Susan L."},{"family":"Boruff","given":"Bryan J."},{"family":"Shirley","given":"W. Lynn"}],"issued":{"date-parts":[["2003",6]]}}},{"id":1924,"uris":["http://zotero.org/users/14772686/items/5DSHUHRE"],"itemData":{"id":1924,"type":"article-journal","abstract":"Flood risks are rising across the United States, putting the economic and social values of growing numbers of homes at risk. In response, the federal government is funding the purchase and demolition of housing in areas of greatest jeopardy, tacitly promoting residential resettlement as a strategy of climate adaptation, especially in cities. Despite these developments little is known about where people move when they engage in such resettlement or how answers to that question vary by the racial and economic status of their flood-prone neighborhoods. The present study begins to fill that gap. We introduce a new typology for classifying environmental resettlement along two socio-spatial dimensions of community attachment: (a) distance moved from one’s flood-prone home; and (b) average distance resettled from similarly relocated neighbors. Next, we analyze data from 1,572 homeowners who accepted government-funded buyouts across 39 neighborhood areas in Harris County, Texas – Houston’s urban core. Results indicate that homeowners from more privileged neighborhoods resettle closer to their flood-prone homes and to one another, thus helping to preserve the social and economic value of their homes; homeowners from less privileged areas end up farther away from both. Implications for understanding social inequities in government-funded urban climate adaptation are discussed.","container-title":"Social Problems","DOI":"10.1093/socpro/spab059","ISSN":"0037-7791","issue":"4","journalAbbreviation":"Soc Probl","page":"869-892","source":"Silverchair","title":"Divergent Residential Pathways from Flood-Prone Areas: How Neighborhood Inequalities Are Shaping Urban Climate Adaptation","title-short":"Divergent Residential Pathways from Flood-Prone Areas","volume":"70","author":[{"family":"Elliott","given":"James R"},{"family":"Loughran","given":"Kevin"},{"family":"Brown","given":"Phylicia Lee"}],"issued":{"date-parts":[["2023",11,1]]}}},{"id":1928,"uris":["http://zotero.org/users/14772686/items/L37LLAC2"],"itemData":{"id":1928,"type":"article-journal","abstract":"Homeowners are significantly more prepared for disasters than renters. However, disaster preparedness among subsidized renters is an understudied topic despite their increased vulnerability to negative disaster outcomes. Previous research shows that one in three subsidized units is at risk for exposure to disasters, relative to one in four unsubsidized rental units, and one in seven owner-occupied units. Subsidized housing residents often fall into many vulnerable statuses that would make them less prepared than renters and owners. Using 2017 American Housing Survey data, we examine differences in household disaster preparedness by housing tenure, with and without controls for such factors. Logistic regression analyses indicate that subsidized renters are significantly less prepared than unsubsidized renters, and both renter types are significantly less prepared than homeowners, controlling for demographic and neighborhood characteristics. The policy implications of this research are considered as they relate to the location and management of subsidized housing in an era of climate change.","container-title":"Housing policy debate","DOI":"10.1080/10511482.2023.2224309","ISSN":"1051-1482","issue":"5","journalAbbreviation":"Hous Policy Debate","page":"1100-1123","PMID":"38323075","PMCID":"PMC10846867","source":"PubMed Central","title":"Disaster Preparedness and Housing Tenure: How Do Subsidized Renters Fare?","title-short":"Disaster Preparedness and Housing Tenure","volume":"33","author":[{"family":"McCarthy","given":"Sarah"},{"family":"Friedman","given":"Samantha"}],"issued":{"date-parts":[["2023"]]}}},{"id":1932,"uris":["http://zotero.org/users/14772686/items/M495NW66"],"itemData":{"id":1932,"type":"article-journal","abstract":"A leading challenge in measuring social vulnerability to hazards is for output metrics to better reflect the context in which vulnerability occurs. Through a meta-analysis of 67 flood disaster case studies (1997–2013), this paper profiles the leading drivers of social vulnerability to floods. The results identify demographic characteristics, socioeconomic status, and health as the leading empirical drivers of social vulnerability to damaging flood events. However, risk perception and coping capacity also featured prominently in the case studies, yet these factors tend to be poorly reflected in many social vulnerability indicators. The influence of social vulnerability drivers varied considerably by disaster stage and national setting, highlighting the importance of context in understanding social vulnerability precursors, processes, and outcomes. To help tailor quantitative indicators of social vulnerability to flood contexts, the article concludes with recommendations concerning temporal context, measurability, and indicator interrelationships.","container-title":"International Journal of Disaster Risk Reduction","DOI":"10.1016/j.ijdrr.2015.09.013","ISSN":"2212-4209","journalAbbreviation":"International Journal of Disaster Risk Reduction","page":"470-486","source":"ScienceDirect","title":"Social vulnerability to floods: Review of case studies and implications for measurement","title-short":"Social vulnerability to floods","volume":"14","author":[{"family":"Rufat","given":"Samuel"},{"family":"Tate","given":"Eric"},{"family":"Burton","given":"Christopher G."},{"family":"Maroof","given":"Abu Sayeed"}],"issued":{"date-parts":[["2015",12,1]]}}}],"schema":"https://github.com/citation-style-language/schema/raw/master/csl-citation.json"} </w:instrText>
      </w:r>
      <w:r w:rsidR="00273A77" w:rsidRPr="00D458EF">
        <w:rPr>
          <w:rFonts w:ascii="Times New Roman" w:hAnsi="Times New Roman" w:cs="Times New Roman"/>
          <w:bCs/>
        </w:rPr>
        <w:fldChar w:fldCharType="separate"/>
      </w:r>
      <w:r w:rsidR="00486E6E" w:rsidRPr="00D458EF">
        <w:rPr>
          <w:rFonts w:ascii="Times New Roman" w:hAnsi="Times New Roman" w:cs="Times New Roman"/>
        </w:rPr>
        <w:t>(Cutter et al., 2003; Elliott et al., 2023; McCarthy &amp; Friedman, 2023; Rufat et al., 2015)</w:t>
      </w:r>
      <w:r w:rsidR="00273A77" w:rsidRPr="00D458EF">
        <w:rPr>
          <w:rFonts w:ascii="Times New Roman" w:hAnsi="Times New Roman" w:cs="Times New Roman"/>
          <w:bCs/>
        </w:rPr>
        <w:fldChar w:fldCharType="end"/>
      </w:r>
      <w:r w:rsidR="00273A77" w:rsidRPr="00D458EF">
        <w:rPr>
          <w:rFonts w:ascii="Times New Roman" w:hAnsi="Times New Roman" w:cs="Times New Roman"/>
          <w:bCs/>
        </w:rPr>
        <w:t xml:space="preserve">. </w:t>
      </w:r>
      <w:r w:rsidR="008423DA" w:rsidRPr="00D458EF">
        <w:rPr>
          <w:rFonts w:ascii="Times New Roman" w:hAnsi="Times New Roman" w:cs="Times New Roman"/>
          <w:bCs/>
        </w:rPr>
        <w:t xml:space="preserve">Despite these well-documented contrasts, few modeling studies examine how tenure-based constraints shape the cumulative effects of continued behavioral adaptation relative to a static no-action condition. This gap motivates the first scientific question (SQ1): </w:t>
      </w:r>
      <w:r w:rsidR="008423DA" w:rsidRPr="00D458EF">
        <w:rPr>
          <w:rFonts w:ascii="Times New Roman" w:hAnsi="Times New Roman" w:cs="Times New Roman"/>
          <w:bCs/>
          <w:i/>
          <w:iCs/>
        </w:rPr>
        <w:t xml:space="preserve">how does </w:t>
      </w:r>
      <w:r w:rsidR="00FD26AE">
        <w:rPr>
          <w:rFonts w:ascii="Times New Roman" w:hAnsi="Times New Roman" w:cs="Times New Roman" w:hint="eastAsia"/>
          <w:bCs/>
          <w:i/>
          <w:iCs/>
        </w:rPr>
        <w:t>long-term flood</w:t>
      </w:r>
      <w:r w:rsidR="008423DA" w:rsidRPr="00D458EF">
        <w:rPr>
          <w:rFonts w:ascii="Times New Roman" w:hAnsi="Times New Roman" w:cs="Times New Roman"/>
          <w:bCs/>
          <w:i/>
          <w:iCs/>
        </w:rPr>
        <w:t xml:space="preserve"> adaptation, compared with no action, differentially affect long-term flood outcomes for renters and homeowners?</w:t>
      </w:r>
    </w:p>
    <w:p w14:paraId="0C43FF37" w14:textId="77777777" w:rsidR="008423DA" w:rsidRPr="00D458EF" w:rsidRDefault="008423DA" w:rsidP="001760F5">
      <w:pPr>
        <w:pStyle w:val="a3"/>
        <w:spacing w:line="360" w:lineRule="auto"/>
        <w:ind w:leftChars="0" w:left="1440"/>
        <w:jc w:val="both"/>
        <w:rPr>
          <w:rFonts w:ascii="Times New Roman" w:hAnsi="Times New Roman" w:cs="Times New Roman"/>
          <w:bCs/>
        </w:rPr>
      </w:pPr>
    </w:p>
    <w:p w14:paraId="2A8CE1E3" w14:textId="7870FB4B" w:rsidR="00BF443E" w:rsidRPr="00BC65EA" w:rsidRDefault="00DB0B56" w:rsidP="001760F5">
      <w:pPr>
        <w:pStyle w:val="a3"/>
        <w:numPr>
          <w:ilvl w:val="2"/>
          <w:numId w:val="10"/>
        </w:numPr>
        <w:spacing w:line="360" w:lineRule="auto"/>
        <w:ind w:leftChars="0"/>
        <w:jc w:val="both"/>
        <w:rPr>
          <w:rFonts w:ascii="Times New Roman" w:hAnsi="Times New Roman" w:cs="Times New Roman"/>
          <w:bCs/>
        </w:rPr>
      </w:pPr>
      <w:r w:rsidRPr="00D458EF">
        <w:rPr>
          <w:rFonts w:ascii="Times New Roman" w:hAnsi="Times New Roman" w:cs="Times New Roman"/>
          <w:bCs/>
        </w:rPr>
        <w:t>Behavioral Adaptation Trajectories under Repeated Floods</w:t>
      </w:r>
      <w:r w:rsidR="000133EA" w:rsidRPr="00D458EF">
        <w:rPr>
          <w:rFonts w:ascii="Times New Roman" w:hAnsi="Times New Roman" w:cs="Times New Roman"/>
          <w:bCs/>
        </w:rPr>
        <w:t xml:space="preserve"> (</w:t>
      </w:r>
      <w:r w:rsidR="000133EA" w:rsidRPr="00D458EF">
        <w:rPr>
          <w:rFonts w:ascii="Times New Roman" w:hAnsi="Times New Roman" w:cs="Times New Roman"/>
          <w:bCs/>
          <w:color w:val="EE0000"/>
        </w:rPr>
        <w:t>SQ2</w:t>
      </w:r>
      <w:r w:rsidR="000133EA" w:rsidRPr="00D458EF">
        <w:rPr>
          <w:rFonts w:ascii="Times New Roman" w:hAnsi="Times New Roman" w:cs="Times New Roman"/>
          <w:bCs/>
        </w:rPr>
        <w:t>)</w:t>
      </w:r>
    </w:p>
    <w:p w14:paraId="193904B1" w14:textId="54F0408E" w:rsidR="007C0095" w:rsidRPr="00D458EF" w:rsidRDefault="00B12236" w:rsidP="00005EB0">
      <w:pPr>
        <w:pStyle w:val="a3"/>
        <w:spacing w:line="360" w:lineRule="auto"/>
        <w:ind w:leftChars="0" w:left="1440"/>
        <w:jc w:val="both"/>
        <w:rPr>
          <w:rFonts w:ascii="Times New Roman" w:hAnsi="Times New Roman" w:cs="Times New Roman"/>
          <w:bCs/>
        </w:rPr>
      </w:pPr>
      <w:r w:rsidRPr="00D458EF">
        <w:rPr>
          <w:rFonts w:ascii="Times New Roman" w:hAnsi="Times New Roman" w:cs="Times New Roman"/>
        </w:rPr>
        <w:tab/>
      </w:r>
      <w:r w:rsidR="006865C3" w:rsidRPr="006865C3">
        <w:rPr>
          <w:rFonts w:ascii="Times New Roman" w:hAnsi="Times New Roman" w:cs="Times New Roman"/>
        </w:rPr>
        <w:t xml:space="preserve">Because structural constraints associated with housing tenure shape households’ decision authority and feasible adaptation actions, renters and homeowners </w:t>
      </w:r>
      <w:r w:rsidR="00FA375F">
        <w:rPr>
          <w:rFonts w:ascii="Times New Roman" w:hAnsi="Times New Roman" w:cs="Times New Roman"/>
        </w:rPr>
        <w:t xml:space="preserve">are </w:t>
      </w:r>
      <w:r w:rsidR="006865C3" w:rsidRPr="006865C3">
        <w:rPr>
          <w:rFonts w:ascii="Times New Roman" w:hAnsi="Times New Roman" w:cs="Times New Roman"/>
        </w:rPr>
        <w:t>expected to exhibit distinct behavioral responses under repeated flood exposure</w:t>
      </w:r>
      <w:r w:rsidR="00686595" w:rsidRPr="00D458EF">
        <w:rPr>
          <w:rFonts w:ascii="Times New Roman" w:hAnsi="Times New Roman" w:cs="Times New Roman"/>
          <w:b/>
          <w:bCs/>
        </w:rPr>
        <w:t xml:space="preserve"> </w:t>
      </w:r>
      <w:r w:rsidR="00686595" w:rsidRPr="00D458EF">
        <w:rPr>
          <w:rFonts w:ascii="Times New Roman" w:hAnsi="Times New Roman" w:cs="Times New Roman"/>
          <w:b/>
          <w:bCs/>
        </w:rPr>
        <w:fldChar w:fldCharType="begin"/>
      </w:r>
      <w:r w:rsidR="00005EB0">
        <w:rPr>
          <w:rFonts w:ascii="Times New Roman" w:hAnsi="Times New Roman" w:cs="Times New Roman"/>
          <w:b/>
          <w:bCs/>
        </w:rPr>
        <w:instrText xml:space="preserve"> ADDIN ZOTERO_ITEM CSL_CITATION {"citationID":"KoRUFJys","properties":{"formattedCitation":"(Lee &amp; Van Zandt, 2019)","plainCitation":"(Lee &amp; Van Zandt, 2019)","noteIndex":0},"citationItems":[{"id":"NkoeHmjM/vUj9qsmP","uris":["http://zotero.org/users/14772686/items/5TLU6J9N"],"itemData":{"id":2930,"type":"article-journal","abstract":"As a group, renters experience a broader range of housing problems than do owners, and disasters worsen these problems. Yet to date, housing tenure has been relatively understudied compared to other vulnerability characteristics. This review addresses the differences in housing needs faced by renters and owners during and after a disaster. It examines variation between renters and owners, recent studies of a disaster’s impacts on each group by disaster phase, and disaster-related housing policies and programs. This research explores significant questions related to the housing needs of renters in times of disaster, yielding important insights for policy makers and local planners.","container-title":"Journal of Planning Literature","DOI":"10.1177/0885412218812080","ISSN":"0885-4122","issue":"2","language":"EN","page":"156-170","publisher":"SAGE Publications Inc","source":"SAGE Journals","title":"Housing Tenure and Social Vulnerability to Disasters: A Review of the Evidence","title-short":"Housing Tenure and Social Vulnerability to Disasters","volume":"34","author":[{"family":"Lee","given":"Jee Young"},{"family":"Van Zandt","given":"Shannon"}],"issued":{"date-parts":[["2019",5,1]]}}}],"schema":"https://github.com/citation-style-language/schema/raw/master/csl-citation.json"} </w:instrText>
      </w:r>
      <w:r w:rsidR="00686595" w:rsidRPr="00D458EF">
        <w:rPr>
          <w:rFonts w:ascii="Times New Roman" w:hAnsi="Times New Roman" w:cs="Times New Roman"/>
          <w:b/>
          <w:bCs/>
        </w:rPr>
        <w:fldChar w:fldCharType="separate"/>
      </w:r>
      <w:r w:rsidR="00005EB0" w:rsidRPr="00005EB0">
        <w:rPr>
          <w:rFonts w:ascii="Times New Roman" w:hAnsi="Times New Roman" w:cs="Times New Roman"/>
        </w:rPr>
        <w:t>(Lee &amp; Van Zandt, 2019)</w:t>
      </w:r>
      <w:r w:rsidR="00686595" w:rsidRPr="00D458EF">
        <w:rPr>
          <w:rFonts w:ascii="Times New Roman" w:hAnsi="Times New Roman" w:cs="Times New Roman"/>
          <w:b/>
          <w:bCs/>
        </w:rPr>
        <w:fldChar w:fldCharType="end"/>
      </w:r>
      <w:r w:rsidR="002D608A" w:rsidRPr="00D458EF">
        <w:rPr>
          <w:rFonts w:ascii="Times New Roman" w:hAnsi="Times New Roman" w:cs="Times New Roman"/>
          <w:b/>
          <w:bCs/>
        </w:rPr>
        <w:t>.</w:t>
      </w:r>
      <w:r w:rsidR="002D608A" w:rsidRPr="00D458EF">
        <w:rPr>
          <w:rFonts w:ascii="Times New Roman" w:hAnsi="Times New Roman" w:cs="Times New Roman"/>
        </w:rPr>
        <w:t xml:space="preserve"> </w:t>
      </w:r>
      <w:r w:rsidR="0087191B" w:rsidRPr="0087191B">
        <w:rPr>
          <w:rFonts w:ascii="Times New Roman" w:hAnsi="Times New Roman" w:cs="Times New Roman"/>
        </w:rPr>
        <w:t xml:space="preserve">Existing ABM studies have examined how households perceive flood risk, update </w:t>
      </w:r>
      <w:r w:rsidR="00A76FCB">
        <w:rPr>
          <w:rFonts w:ascii="Times New Roman" w:hAnsi="Times New Roman" w:cs="Times New Roman" w:hint="eastAsia"/>
        </w:rPr>
        <w:t xml:space="preserve">flood </w:t>
      </w:r>
      <w:r w:rsidR="0087191B" w:rsidRPr="0087191B">
        <w:rPr>
          <w:rFonts w:ascii="Times New Roman" w:hAnsi="Times New Roman" w:cs="Times New Roman"/>
        </w:rPr>
        <w:t>experiences, and decide whether to take protective actions</w:t>
      </w:r>
      <w:r w:rsidR="00D3629A" w:rsidRPr="00D458EF">
        <w:rPr>
          <w:rFonts w:ascii="Times New Roman" w:hAnsi="Times New Roman" w:cs="Times New Roman"/>
          <w:bCs/>
        </w:rPr>
        <w:t xml:space="preserve"> </w:t>
      </w:r>
      <w:r w:rsidR="00D3629A" w:rsidRPr="00D458EF">
        <w:rPr>
          <w:rFonts w:ascii="Times New Roman" w:hAnsi="Times New Roman" w:cs="Times New Roman"/>
          <w:bCs/>
        </w:rPr>
        <w:fldChar w:fldCharType="begin"/>
      </w:r>
      <w:r w:rsidR="00D60DBA">
        <w:rPr>
          <w:rFonts w:ascii="Times New Roman" w:hAnsi="Times New Roman" w:cs="Times New Roman"/>
          <w:bCs/>
        </w:rPr>
        <w:instrText xml:space="preserve"> ADDIN ZOTERO_ITEM CSL_CITATION {"citationID":"mBh08u8M","properties":{"formattedCitation":"(Han et al., 2022)","plainCitation":"(Han et al., 2022)","noteIndex":0},"citationItems":[{"id":"NkoeHmjM/8XJ9ZXbz","uris":["http://zotero.org/users/14772686/items/9WNT24NK"],"itemData":{"id":99,"type":"article-journal","abstract":"This article deals with household-level flood risk mitigation. We present an agent-based modeling framework to simulate the mechanism of natural hazard and human interactions, to allow evaluation of community flood risk, and to predict various adaptation outcomes. The framework considers each household as an autonomous, yet socially connected, agent. A Beta–Bernoulli Bayesian learning model is first applied to measure changes of agents’ risk perceptions in response to stochastic storm surges. Then the risk appraisal behaviors of agents, as a function of willingness-to-pay for flood insurance, are measured. Using Miami-Dade County, Florida as a case study, we simulated four scenarios to evaluate the outcomes of alternative adaptation strategies. Results show that community damage decreases significantly after a few years when agents become cognizant of flood risks. Compared to insurance policies with pre-Flood Insurance Rate Maps subsidies, risk-based insurance policies are more effective in promoting community resilience, but it will decrease motivations to purchase flood insurance, especially for households outside of high-risk areas. We evaluated vital model parameters using a local sensitivity analysis. Simulation results demonstrate the importance of an integrated adaptation strategy in community flood risk management.","container-title":"Risk Analysis","DOI":"10.1111/risa.13854","ISSN":"1539-6924","issue":"9","language":"en","license":"© 2021 Society for Risk Analysis.","note":"_eprint: https://onlinelibrary.wiley.com/doi/pdf/10.1111/risa.13854","page":"2041-2061","source":"Wiley Online Library","title":"Agent-based Modeling to Evaluate Human–Environment Interactions in Community Flood Risk Mitigation","volume":"42","author":[{"family":"Han","given":"Yu"},{"family":"Mao","given":"Liang"},{"family":"Chen","given":"Xuqi"},{"family":"Zhai","given":"Wei"},{"family":"Peng","given":"Zhong-Ren"},{"family":"Mozumder","given":"Pallab"}],"issued":{"date-parts":[["2022"]]}}}],"schema":"https://github.com/citation-style-language/schema/raw/master/csl-citation.json"} </w:instrText>
      </w:r>
      <w:r w:rsidR="00D3629A" w:rsidRPr="00D458EF">
        <w:rPr>
          <w:rFonts w:ascii="Times New Roman" w:hAnsi="Times New Roman" w:cs="Times New Roman"/>
          <w:bCs/>
        </w:rPr>
        <w:fldChar w:fldCharType="separate"/>
      </w:r>
      <w:r w:rsidR="007F122E" w:rsidRPr="00D458EF">
        <w:rPr>
          <w:rFonts w:ascii="Times New Roman" w:hAnsi="Times New Roman" w:cs="Times New Roman"/>
        </w:rPr>
        <w:t>(Han et al., 2022)</w:t>
      </w:r>
      <w:r w:rsidR="00D3629A" w:rsidRPr="00D458EF">
        <w:rPr>
          <w:rFonts w:ascii="Times New Roman" w:hAnsi="Times New Roman" w:cs="Times New Roman"/>
          <w:bCs/>
        </w:rPr>
        <w:fldChar w:fldCharType="end"/>
      </w:r>
      <w:r w:rsidR="00D3629A" w:rsidRPr="00D458EF">
        <w:rPr>
          <w:rFonts w:ascii="Times New Roman" w:hAnsi="Times New Roman" w:cs="Times New Roman"/>
          <w:bCs/>
        </w:rPr>
        <w:t>.</w:t>
      </w:r>
      <w:r w:rsidR="007C0095" w:rsidRPr="00D458EF">
        <w:rPr>
          <w:rFonts w:ascii="Times New Roman" w:hAnsi="Times New Roman" w:cs="Times New Roman"/>
          <w:bCs/>
        </w:rPr>
        <w:t xml:space="preserve"> </w:t>
      </w:r>
      <w:r w:rsidR="00613C6B" w:rsidRPr="00613C6B">
        <w:rPr>
          <w:rFonts w:ascii="Times New Roman" w:hAnsi="Times New Roman" w:cs="Times New Roman"/>
          <w:bCs/>
        </w:rPr>
        <w:t>However, most focus on a narrow set of responses</w:t>
      </w:r>
      <w:r w:rsidR="00FA375F">
        <w:rPr>
          <w:rFonts w:ascii="Times New Roman" w:hAnsi="Times New Roman" w:cs="Times New Roman" w:hint="eastAsia"/>
          <w:bCs/>
        </w:rPr>
        <w:t xml:space="preserve">, </w:t>
      </w:r>
      <w:r w:rsidR="00613C6B" w:rsidRPr="00613C6B">
        <w:rPr>
          <w:rFonts w:ascii="Times New Roman" w:hAnsi="Times New Roman" w:cs="Times New Roman"/>
          <w:bCs/>
        </w:rPr>
        <w:t>typically insurance purchase or a single structural measure</w:t>
      </w:r>
      <w:r w:rsidR="000138FB" w:rsidRPr="00D458EF">
        <w:rPr>
          <w:rFonts w:ascii="Times New Roman" w:hAnsi="Times New Roman" w:cs="Times New Roman"/>
          <w:bCs/>
        </w:rPr>
        <w:t xml:space="preserve"> </w:t>
      </w:r>
      <w:r w:rsidR="00B540FE" w:rsidRPr="00D458EF">
        <w:rPr>
          <w:rFonts w:ascii="Times New Roman" w:hAnsi="Times New Roman" w:cs="Times New Roman"/>
          <w:bCs/>
        </w:rPr>
        <w:fldChar w:fldCharType="begin"/>
      </w:r>
      <w:r w:rsidR="00D60DBA">
        <w:rPr>
          <w:rFonts w:ascii="Times New Roman" w:hAnsi="Times New Roman" w:cs="Times New Roman"/>
          <w:bCs/>
        </w:rPr>
        <w:instrText xml:space="preserve"> ADDIN ZOTERO_ITEM CSL_CITATION {"citationID":"Bs4RAeA0","properties":{"formattedCitation":"(Han et al., 2022; Nabinejad et al., 2024)","plainCitation":"(Han et al., 2022; Nabinejad et al., 2024)","noteIndex":0},"citationItems":[{"id":"NkoeHmjM/8XJ9ZXbz","uris":["http://zotero.org/users/14772686/items/9WNT24NK"],"itemData":{"id":99,"type":"article-journal","abstract":"This article deals with household-level flood risk mitigation. We present an agent-based modeling framework to simulate the mechanism of natural hazard and human interactions, to allow evaluation of community flood risk, and to predict various adaptation outcomes. The framework considers each household as an autonomous, yet socially connected, agent. A Beta–Bernoulli Bayesian learning model is first applied to measure changes of agents’ risk perceptions in response to stochastic storm surges. Then the risk appraisal behaviors of agents, as a function of willingness-to-pay for flood insurance, are measured. Using Miami-Dade County, Florida as a case study, we simulated four scenarios to evaluate the outcomes of alternative adaptation strategies. Results show that community damage decreases significantly after a few years when agents become cognizant of flood risks. Compared to insurance policies with pre-Flood Insurance Rate Maps subsidies, risk-based insurance policies are more effective in promoting community resilience, but it will decrease motivations to purchase flood insurance, especially for households outside of high-risk areas. We evaluated vital model parameters using a local sensitivity analysis. Simulation results demonstrate the importance of an integrated adaptation strategy in community flood risk management.","container-title":"Risk Analysis","DOI":"10.1111/risa.13854","ISSN":"1539-6924","issue":"9","language":"en","license":"© 2021 Society for Risk Analysis.","note":"_eprint: https://onlinelibrary.wiley.com/doi/pdf/10.1111/risa.13854","page":"2041-2061","source":"Wiley Online Library","title":"Agent-based Modeling to Evaluate Human–Environment Interactions in Community Flood Risk Mitigation","volume":"42","author":[{"family":"Han","given":"Yu"},{"family":"Mao","given":"Liang"},{"family":"Chen","given":"Xuqi"},{"family":"Zhai","given":"Wei"},{"family":"Peng","given":"Zhong-Ren"},{"family":"Mozumder","given":"Pallab"}],"issued":{"date-parts":[["2022"]]}}},{"id":"NkoeHmjM/83JzlB0f","uris":["http://zotero.org/users/14772686/items/FAWP5UN8"],"itemData":{"id":1919,"type":"article-journal","abstract":"Residential areas in developing arid and semi-arid countries are highly vulnerable to flooding, and water shortages have forced their inhabitants to live close to rivers.","container-title":"Water","DOI":"10.3390/w16142027","ISSN":"2073-4441","issue":"14","language":"en","license":"http://creativecommons.org/licenses/by/3.0/","note":"Company: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Institute","publisher":"publisher","source":"www.mdpi.com","title":"Agent-Based Modeling for Household Decision-Making in Adoption of Private Flood Mitigation Measures: The Upper Kan Catchment Case Study","title-short":"Agent-Based Modeling for Household Decision-Making in Adoption of Private Flood Mitigation Measures","URL":"https://www.mdpi.com/2073-4441/16/14/2027","volume":"16","author":[{"family":"Nabinejad","given":"Shima"},{"family":"Schüttrumpf","given":"Holger"},{"family":"Nabinejad","given":"Shima"},{"family":"Schüttrumpf","given":"Holger"}],"accessed":{"date-parts":[["2025",11,6]]},"issued":{"date-parts":[["2024",7,16]]}}}],"schema":"https://github.com/citation-style-language/schema/raw/master/csl-citation.json"} </w:instrText>
      </w:r>
      <w:r w:rsidR="00B540FE" w:rsidRPr="00D458EF">
        <w:rPr>
          <w:rFonts w:ascii="Times New Roman" w:hAnsi="Times New Roman" w:cs="Times New Roman"/>
          <w:bCs/>
        </w:rPr>
        <w:fldChar w:fldCharType="separate"/>
      </w:r>
      <w:r w:rsidR="007F122E" w:rsidRPr="00D458EF">
        <w:rPr>
          <w:rFonts w:ascii="Times New Roman" w:hAnsi="Times New Roman" w:cs="Times New Roman"/>
        </w:rPr>
        <w:t>(Han et al., 2022; Nabinejad et al., 2024)</w:t>
      </w:r>
      <w:r w:rsidR="00B540FE" w:rsidRPr="00D458EF">
        <w:rPr>
          <w:rFonts w:ascii="Times New Roman" w:hAnsi="Times New Roman" w:cs="Times New Roman"/>
          <w:bCs/>
        </w:rPr>
        <w:fldChar w:fldCharType="end"/>
      </w:r>
      <w:r w:rsidR="00B540FE" w:rsidRPr="00D458EF">
        <w:rPr>
          <w:rFonts w:ascii="Times New Roman" w:hAnsi="Times New Roman" w:cs="Times New Roman"/>
          <w:bCs/>
        </w:rPr>
        <w:t>.</w:t>
      </w:r>
      <w:r w:rsidR="000138FB" w:rsidRPr="00D458EF">
        <w:rPr>
          <w:rFonts w:ascii="Times New Roman" w:hAnsi="Times New Roman" w:cs="Times New Roman"/>
          <w:bCs/>
        </w:rPr>
        <w:t xml:space="preserve"> </w:t>
      </w:r>
      <w:r w:rsidR="00591425" w:rsidRPr="00591425">
        <w:rPr>
          <w:rFonts w:ascii="Times New Roman" w:hAnsi="Times New Roman" w:cs="Times New Roman"/>
          <w:bCs/>
        </w:rPr>
        <w:t xml:space="preserve">In practice, households may follow broader and sequential adaptation trajectories, including relocation, buyouts, or sustained inaction, particularly when flood events </w:t>
      </w:r>
      <w:proofErr w:type="gramStart"/>
      <w:r w:rsidR="00591425" w:rsidRPr="00591425">
        <w:rPr>
          <w:rFonts w:ascii="Times New Roman" w:hAnsi="Times New Roman" w:cs="Times New Roman"/>
          <w:bCs/>
        </w:rPr>
        <w:t>recur</w:t>
      </w:r>
      <w:proofErr w:type="gramEnd"/>
      <w:r w:rsidR="00591425" w:rsidRPr="00591425">
        <w:rPr>
          <w:rFonts w:ascii="Times New Roman" w:hAnsi="Times New Roman" w:cs="Times New Roman"/>
          <w:bCs/>
        </w:rPr>
        <w:t>.</w:t>
      </w:r>
      <w:r w:rsidR="00591425">
        <w:rPr>
          <w:rFonts w:ascii="Times New Roman" w:hAnsi="Times New Roman" w:cs="Times New Roman" w:hint="eastAsia"/>
          <w:bCs/>
        </w:rPr>
        <w:t xml:space="preserve"> </w:t>
      </w:r>
      <w:r w:rsidR="00311391" w:rsidRPr="00D458EF">
        <w:rPr>
          <w:rFonts w:ascii="Times New Roman" w:hAnsi="Times New Roman" w:cs="Times New Roman"/>
        </w:rPr>
        <w:t xml:space="preserve">How renters and homeowners differ in their adaptation trajectories following severe flood events remains insufficiently </w:t>
      </w:r>
      <w:r w:rsidR="00311391" w:rsidRPr="00D458EF">
        <w:rPr>
          <w:rFonts w:ascii="Times New Roman" w:hAnsi="Times New Roman" w:cs="Times New Roman"/>
        </w:rPr>
        <w:lastRenderedPageBreak/>
        <w:t xml:space="preserve">explored. This limitation motivates the second scientific question (SQ2): </w:t>
      </w:r>
      <w:r w:rsidR="00311391" w:rsidRPr="00D458EF">
        <w:rPr>
          <w:rFonts w:ascii="Times New Roman" w:hAnsi="Times New Roman" w:cs="Times New Roman"/>
          <w:i/>
          <w:iCs/>
        </w:rPr>
        <w:t>how do renters and homeowners differ in their adaptation trajectories following major flood events?</w:t>
      </w:r>
    </w:p>
    <w:p w14:paraId="4BC78024" w14:textId="1D351A27" w:rsidR="00DC42C6" w:rsidRPr="00D458EF" w:rsidRDefault="00D3629A" w:rsidP="001760F5">
      <w:pPr>
        <w:pStyle w:val="a3"/>
        <w:spacing w:line="360" w:lineRule="auto"/>
        <w:ind w:leftChars="0" w:left="1440"/>
        <w:jc w:val="both"/>
        <w:rPr>
          <w:rFonts w:ascii="Times New Roman" w:hAnsi="Times New Roman" w:cs="Times New Roman"/>
          <w:bCs/>
        </w:rPr>
      </w:pPr>
      <w:r w:rsidRPr="00D458EF">
        <w:rPr>
          <w:rFonts w:ascii="Times New Roman" w:hAnsi="Times New Roman" w:cs="Times New Roman"/>
          <w:bCs/>
        </w:rPr>
        <w:t xml:space="preserve">  </w:t>
      </w:r>
    </w:p>
    <w:p w14:paraId="356323D5" w14:textId="16839AAF" w:rsidR="00BF443E" w:rsidRPr="00D91D0F" w:rsidRDefault="0046085D" w:rsidP="001760F5">
      <w:pPr>
        <w:pStyle w:val="a3"/>
        <w:numPr>
          <w:ilvl w:val="2"/>
          <w:numId w:val="10"/>
        </w:numPr>
        <w:spacing w:line="360" w:lineRule="auto"/>
        <w:ind w:leftChars="0"/>
        <w:jc w:val="both"/>
        <w:rPr>
          <w:rFonts w:ascii="Times New Roman" w:hAnsi="Times New Roman" w:cs="Times New Roman"/>
          <w:bCs/>
        </w:rPr>
      </w:pPr>
      <w:r w:rsidRPr="00D458EF">
        <w:rPr>
          <w:rFonts w:ascii="Times New Roman" w:hAnsi="Times New Roman" w:cs="Times New Roman"/>
          <w:bCs/>
        </w:rPr>
        <w:t>Financial Consequences of Tenure-Based Adaptation</w:t>
      </w:r>
      <w:r w:rsidR="000133EA" w:rsidRPr="00D458EF">
        <w:rPr>
          <w:rFonts w:ascii="Times New Roman" w:hAnsi="Times New Roman" w:cs="Times New Roman"/>
          <w:bCs/>
        </w:rPr>
        <w:t xml:space="preserve"> (</w:t>
      </w:r>
      <w:r w:rsidR="000133EA" w:rsidRPr="00D458EF">
        <w:rPr>
          <w:rFonts w:ascii="Times New Roman" w:hAnsi="Times New Roman" w:cs="Times New Roman"/>
          <w:bCs/>
          <w:color w:val="EE0000"/>
        </w:rPr>
        <w:t>SQ3</w:t>
      </w:r>
      <w:r w:rsidR="000133EA" w:rsidRPr="00D458EF">
        <w:rPr>
          <w:rFonts w:ascii="Times New Roman" w:hAnsi="Times New Roman" w:cs="Times New Roman"/>
          <w:bCs/>
        </w:rPr>
        <w:t>)</w:t>
      </w:r>
    </w:p>
    <w:p w14:paraId="25D036E2" w14:textId="38DFFA85" w:rsidR="00FD4271" w:rsidRPr="00D458EF" w:rsidRDefault="00E34A1F" w:rsidP="001760F5">
      <w:pPr>
        <w:pStyle w:val="a3"/>
        <w:spacing w:line="360" w:lineRule="auto"/>
        <w:ind w:leftChars="0" w:left="1440"/>
        <w:jc w:val="both"/>
        <w:rPr>
          <w:rFonts w:ascii="Times New Roman" w:hAnsi="Times New Roman" w:cs="Times New Roman"/>
          <w:b/>
          <w:bCs/>
        </w:rPr>
      </w:pPr>
      <w:r w:rsidRPr="00D458EF">
        <w:rPr>
          <w:rFonts w:ascii="Times New Roman" w:hAnsi="Times New Roman" w:cs="Times New Roman"/>
          <w:bCs/>
        </w:rPr>
        <w:tab/>
      </w:r>
      <w:r w:rsidR="003C41EE" w:rsidRPr="00D458EF">
        <w:rPr>
          <w:rFonts w:ascii="Times New Roman" w:hAnsi="Times New Roman" w:cs="Times New Roman"/>
          <w:bCs/>
        </w:rPr>
        <w:t xml:space="preserve">Flood adaptation shapes not only physical risk outcomes but also how flood losses are financially allocated and compensated over time. </w:t>
      </w:r>
      <w:r w:rsidR="00050F43" w:rsidRPr="00050F43">
        <w:rPr>
          <w:rFonts w:ascii="Times New Roman" w:hAnsi="Times New Roman" w:cs="Times New Roman"/>
          <w:bCs/>
        </w:rPr>
        <w:t>While ABM studies have advanced understanding of household decision-making under flood risk</w:t>
      </w:r>
      <w:r w:rsidR="00454060" w:rsidRPr="00D458EF">
        <w:rPr>
          <w:rFonts w:ascii="Times New Roman" w:hAnsi="Times New Roman" w:cs="Times New Roman"/>
          <w:bCs/>
        </w:rPr>
        <w:t xml:space="preserve"> </w:t>
      </w:r>
      <w:r w:rsidR="00454060" w:rsidRPr="00D458EF">
        <w:rPr>
          <w:rFonts w:ascii="Times New Roman" w:hAnsi="Times New Roman" w:cs="Times New Roman"/>
          <w:bCs/>
        </w:rPr>
        <w:fldChar w:fldCharType="begin"/>
      </w:r>
      <w:r w:rsidR="00D60DBA">
        <w:rPr>
          <w:rFonts w:ascii="Times New Roman" w:hAnsi="Times New Roman" w:cs="Times New Roman"/>
          <w:bCs/>
        </w:rPr>
        <w:instrText xml:space="preserve"> ADDIN ZOTERO_ITEM CSL_CITATION {"citationID":"6q0ubT8R","properties":{"formattedCitation":"(Haer et al., 2017, 2019; Nabinejad et al., 2024)","plainCitation":"(Haer et al., 2017, 2019; Nabinejad et al., 2024)","noteIndex":0},"citationItems":[{"id":1910,"uris":["http://zotero.org/users/14772686/items/HSL7I4AE"],"itemData":{"id":1910,"type":"article-journal","abstract":"Recent floods in the United States and Asia again highlighted their devastating effects, and without investments in adaptation, the future impact of floods will continue to increase. Key to making accurate flood-risk projections are assessments of how disaster-risk reduction (DRR) measures reduce risk and how much risk remains after adaptation. Current flood-risk-assessment models are ill-equipped to address this, as they assume a static adaptation path, implying that vulnerability will remain constant. We present a multi-disciplinary approach that integrates different types of adaptive behaviour of governments (proactive and reactive) and households (rational and boundedly rational) in a continental-scale risk-assessment framework for river flooding in the European Union. Our methodology demonstrates how flood risk and adaptation might develop, indicates how DRR policies can steer decisions towards optimal behaviour, and indicates how much residual risk remains that has to be covered by risk-transfer mechanisms. We find that the increase in flood risk due to climate change may be largely offset by adaptation decisions. Moreover, we illustrate that adaptation by households may be more influential for risk reduction than government protection in the short term. The results highlight the importance of integrating behavioural methods from social sciences with quantitative models from the natural sciences, as advocated by both fields.","container-title":"Environmental Research Letters","DOI":"10.1088/1748-9326/ab0770","ISSN":"1748-9326","issue":"4","journalAbbreviation":"Environ. Res. Lett.","language":"en","page":"044022","publisher":"IOP Publishing","source":"Institute of Physics","title":"Advancing disaster policies by integrating dynamic adaptive behaviour in risk assessments using an agent-based modelling approach","volume":"14","author":[{"family":"Haer","given":"Toon"},{"family":"Botzen","given":"W J Wouter"},{"family":"Aerts","given":"Jeroen C J H"}],"issued":{"date-parts":[["2019",4]]}}},{"id":236,"uris":["http://zotero.org/users/14772686/items/ZIM66T3N"],"itemData":{"id":236,"type":"article-journal","abstract":"Recent studies showed that climate change and socioeconomic trends are expected to increase flood risks in many regions. However, in these studies, human behavior is commonly assumed to be constant, which neglects interaction and feedback loops between human and environmental systems. This neglect of human adaptation leads to a misrepresentation of flood risk. This article presents an agent-based model that incorporates human decision making in flood risk analysis. In particular, household investments in loss-reducing measures are examined under three economic decision models: (1) expected utility theory, which is the traditional economic model of rational agents; (2) prospect theory, which takes account of bounded rationality; and (3) a prospect theory model, which accounts for changing risk perceptions and social interactions through a process of Bayesian updating. We show that neglecting human behavior in flood risk assessment studies can result in a considerable misestimation of future flood risk, which is in our case study an overestimation of a factor two. Furthermore, we show how behavior models can support flood risk analysis under different behavioral assumptions, illustrating the need to include the dynamic adaptive human behavior of, for instance, households, insurers, and governments. The method presented here provides a solid basis for exploring human behavior and the resulting flood risk with respect to low-probability/high-impact risks.","container-title":"Risk Analysis","DOI":"10.1111/risa.12740","ISSN":"1539-6924","issue":"10","language":"en","license":"© 2016 The Authors Risk Analysis published by Wiley Periodicals, Inc. on behalf of Society for Risk Analysis.","note":"_eprint: https://onlinelibrary.wiley.com/doi/pdf/10.1111/risa.12740","page":"1977-1992","source":"Wiley Online Library","title":"Integrating Household Risk Mitigation Behavior in Flood Risk Analysis: An Agent-Based Model Approach","title-short":"Integrating Household Risk Mitigation Behavior in Flood Risk Analysis","volume":"37","author":[{"family":"Haer","given":"Toon"},{"family":"Botzen","given":"W. J. Wouter"},{"family":"Moel","given":"Hans","non-dropping-particle":"de"},{"family":"Aerts","given":"Jeroen C. J. H."}],"issued":{"date-parts":[["2017"]]}}},{"id":"NkoeHmjM/83JzlB0f","uris":["http://zotero.org/users/14772686/items/FAWP5UN8"],"itemData":{"id":1919,"type":"article-journal","abstract":"Residential areas in developing arid and semi-arid countries are highly vulnerable to flooding, and water shortages have forced their inhabitants to live close to rivers.","container-title":"Water","DOI":"10.3390/w16142027","ISSN":"2073-4441","issue":"14","language":"en","license":"http://creativecommons.org/licenses/by/3.0/","note":"Company: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Institute","publisher":"publisher","source":"www.mdpi.com","title":"Agent-Based Modeling for Household Decision-Making in Adoption of Private Flood Mitigation Measures: The Upper Kan Catchment Case Study","title-short":"Agent-Based Modeling for Household Decision-Making in Adoption of Private Flood Mitigation Measures","URL":"https://www.mdpi.com/2073-4441/16/14/2027","volume":"16","author":[{"family":"Nabinejad","given":"Shima"},{"family":"Schüttrumpf","given":"Holger"},{"family":"Nabinejad","given":"Shima"},{"family":"Schüttrumpf","given":"Holger"}],"accessed":{"date-parts":[["2025",11,6]]},"issued":{"date-parts":[["2024",7,16]]}}}],"schema":"https://github.com/citation-style-language/schema/raw/master/csl-citation.json"} </w:instrText>
      </w:r>
      <w:r w:rsidR="00454060" w:rsidRPr="00D458EF">
        <w:rPr>
          <w:rFonts w:ascii="Times New Roman" w:hAnsi="Times New Roman" w:cs="Times New Roman"/>
          <w:bCs/>
        </w:rPr>
        <w:fldChar w:fldCharType="separate"/>
      </w:r>
      <w:r w:rsidR="007F122E" w:rsidRPr="00D458EF">
        <w:rPr>
          <w:rFonts w:ascii="Times New Roman" w:hAnsi="Times New Roman" w:cs="Times New Roman"/>
        </w:rPr>
        <w:t>(Haer et al., 2017, 2019; Nabinejad et al., 2024)</w:t>
      </w:r>
      <w:r w:rsidR="00454060" w:rsidRPr="00D458EF">
        <w:rPr>
          <w:rFonts w:ascii="Times New Roman" w:hAnsi="Times New Roman" w:cs="Times New Roman"/>
          <w:bCs/>
        </w:rPr>
        <w:fldChar w:fldCharType="end"/>
      </w:r>
      <w:r w:rsidR="00BF6E98" w:rsidRPr="00D458EF">
        <w:rPr>
          <w:rFonts w:ascii="Times New Roman" w:hAnsi="Times New Roman" w:cs="Times New Roman"/>
          <w:bCs/>
        </w:rPr>
        <w:t xml:space="preserve">, </w:t>
      </w:r>
      <w:r w:rsidR="00587242" w:rsidRPr="00D458EF">
        <w:rPr>
          <w:rFonts w:ascii="Times New Roman" w:hAnsi="Times New Roman" w:cs="Times New Roman"/>
          <w:bCs/>
        </w:rPr>
        <w:t>financial consequences are often treated in an aggregated manner. Recent efforts coupling ABM with catastrophe and finance models have begun to examine losses, premiums, and insurance participation</w:t>
      </w:r>
      <w:r w:rsidR="00E14D35" w:rsidRPr="00D458EF">
        <w:rPr>
          <w:rFonts w:ascii="Times New Roman" w:hAnsi="Times New Roman" w:cs="Times New Roman"/>
          <w:bCs/>
        </w:rPr>
        <w:t xml:space="preserve"> </w:t>
      </w:r>
      <w:r w:rsidR="00E14D35" w:rsidRPr="00D458EF">
        <w:rPr>
          <w:rFonts w:ascii="Times New Roman" w:hAnsi="Times New Roman" w:cs="Times New Roman"/>
          <w:bCs/>
        </w:rPr>
        <w:fldChar w:fldCharType="begin"/>
      </w:r>
      <w:r w:rsidR="00D60DBA">
        <w:rPr>
          <w:rFonts w:ascii="Times New Roman" w:hAnsi="Times New Roman" w:cs="Times New Roman"/>
          <w:bCs/>
        </w:rPr>
        <w:instrText xml:space="preserve"> ADDIN ZOTERO_ITEM CSL_CITATION {"citationID":"mO7wmK76","properties":{"formattedCitation":"(de Ruig et al., 2023; Moradzadeh &amp; Ahmadi, 2024; Tierolf et al., 2023)","plainCitation":"(de Ruig et al., 2023; Moradzadeh &amp; Ahmadi, 2024; Tierolf et al., 2023)","noteIndex":0},"citationItems":[{"id":1845,"uris":["http://zotero.org/users/14772686/items/VGEKL8LV"],"itemData":{"id":1845,"type":"article-journal","abstract":"Coastal flood risk is expected to increase as a result of climate change effects, such as sea level rise, and socioeconomic growth. To support policymakers in making adaptation decisions, accurate flood risk assessments that account for the influence of complex adaptation processes on the developments of risks are essential. In this study, we integrate the dynamic adaptive behavior of homeowners within a flood risk modeling framework. Focusing on building-level adaptation and flood insurance, the agent-based model (DYNAMO) is benchmarked with empirical data for New York City, USA. The model simulates the National Flood Insurance Program (NFIP) and frequently proposed reforms to evaluate their effectiveness. The model is applied to a case study of Jamaica Bay, NY. Our results indicate that risk-based premiums can improve insurance penetration rates and the affordability of insurance compared to the baseline NFIP market structure. While a premium discount for disaster risk reduction incentivizes more homeowners to invest in dry-floodproofing measures, it does not significantly improve affordability. A low interest rate loan for financing risk-mitigation investments improves the uptake and affordability of dry-floodproofing measures. The benchmark and sensitivity analyses demonstrate how the behavioral component of our model matches empirical data and provides insights into the underlying theories and choices that autonomous agents make.","container-title":"Risk Analysis","DOI":"10.1111/risa.13905","ISSN":"1539-6924","issue":"2","language":"en","license":"© 2022 The Authors. Risk Analysis published by Wiley Periodicals LLC on behalf of Society for Risk Analysis.","note":"_eprint: https://onlinelibrary.wiley.com/doi/pdf/10.1111/risa.13905","page":"405-422","source":"Wiley Online Library","title":"An agent-based model for evaluating reforms of the National Flood Insurance Program: A benchmarked model applied to Jamaica Bay, NYC","title-short":"An agent-based model for evaluating reforms of the National Flood Insurance Program","volume":"43","author":[{"family":"Ruig","given":"Lars Tjitze","non-dropping-particle":"de"},{"family":"Haer","given":"Toon"},{"family":"Moel","given":"Hans","non-dropping-particle":"de"},{"family":"Orton","given":"Philip"},{"family":"Botzen","given":"W. J. Wouter"},{"family":"Aerts","given":"Jeroen C. J. H."}],"issued":{"date-parts":[["2023"]]}}},{"id":"NkoeHmjM/EZ7NIDP5","uris":["http://zotero.org/users/14772686/items/Z2HRG7EG"],"itemData":{"id":90,"type":"article-journal","abstract":"Flooding is a frequent and highly destructive natural disaster that requires effective flood management policies. This paper addresses the limitations of traditional flood risk assessment methods, focusing on the interplay between human decisions and flood risk using an integrated approach. Agent-Based Modeling (ABM) is employed to capture the social behavior of government, households, and farmers in three flood management scenarios. The study is conducted in the Fall River watershed, Idaho, USA, over a 30-year period. The results highlight the important influence of crop selection decisions on flood damage outcomes, with alfalfa emerging as the preferred crop due to its profitability and lower damage potential (around 67 % crop loss compared to more than 81 % for crops like corn, barley, and wheat). The levee scenario is identified as the most effective strategy, significantly reducing flood damage by more than 37 % and generating the highest average annual profit for farmers. The study emphasizes the need for comprehensive flood risk management strategies that address both frequent and rare flood occurrences in mitigating flood damage and promoting community resilience. By integrating human-flood interactions into flood risk assessment, this study offers valuable insights for Policymakers and stakeholders can utilize the research implications to develop effective strategies that mitigate damage and enhance community resilience.","container-title":"International Journal of Disaster Risk Reduction","DOI":"10.1016/j.ijdrr.2024.104486","ISSN":"2212-4209","journalAbbreviation":"International Journal of Disaster Risk Reduction","page":"104486","source":"ScienceDirect","title":"Unraveling the interplay of human decisions and flood risk: An agent-based modeling approach","title-short":"Unraveling the interplay of human decisions and flood risk","volume":"107","author":[{"family":"Moradzadeh","given":"Matin"},{"family":"Ahmadi","given":"Mehdi"}],"issued":{"date-parts":[["2024",6,1]]}}},{"id":"NkoeHmjM/nM1TSBxN","uris":["http://zotero.org/users/14772686/items/QMEA5HEI"],"itemData":{"id":1917,"type":"article-journal","abstract":"In this study, we couple an integrated flood damage and agent-based model (ABM) with a gravity model of internal migration and a flood risk module (DYNAMO-M) to project household adaptation and migration decisions under increasing coastal flood risk in France. We ground the agent decision rules in a framework of subjective expected utility theory. This method addresses agent’s bounded rationality related to risk perception and risk aversion and simulates the impact of push, pull, and mooring factors on migration and adaptation decisions. The agents are parameterized using subnational statistics, and the model is calibrated using a household survey on adaptation uptake. Subsequently, the model simulates household adaptation and migration based on increasing coastal flood damage from 2015 until 2080. A medium population growth scenario is used to simulate future population development, and sea level rise (SLR) is assessed for different climate scenarios. The results indicate that SLR can drive migration exceeding 8000 and 10,000 coastal inhabitants for 2080 under the Representative Concentration Pathways 4.5 and 8.5, respectively. Although household adaptation to flood risk strongly impacts projected annual flood damage, its impact on migration decisions is small and falls within the 90% confidence interval of model runs. Projections of coastal migration under SLR are most sensitive to migration costs and coastal flood protection standards, highlighting the need for better characterization of both in modeling exercises. The modeling framework demonstrated in this study can be upscaled to the global scale and function as a platform for a more integrated assessment of SLR-induced migration.","container-title":"Scientific Reports","DOI":"10.1038/s41598-023-31351-y","ISSN":"2045-2322","issue":"1","language":"en","license":"2023 The Author(s)","page":"4176","publisher":"Nature Publishing Group","source":"www.nature.com","title":"A coupled agent-based model for France for simulating adaptation and migration decisions under future coastal flood risk","volume":"13","author":[{"family":"Tierolf","given":"Lars"},{"family":"Haer","given":"Toon"},{"family":"Botzen","given":"W. J. Wouter"},{"family":"Bruijn","given":"Jens A.","non-dropping-particle":"de"},{"family":"Ton","given":"Marijn J."},{"family":"Reimann","given":"Lena"},{"family":"Aerts","given":"Jeroen C. J. H."}],"issued":{"date-parts":[["2023",3,13]]}}}],"schema":"https://github.com/citation-style-language/schema/raw/master/csl-citation.json"} </w:instrText>
      </w:r>
      <w:r w:rsidR="00E14D35" w:rsidRPr="00D458EF">
        <w:rPr>
          <w:rFonts w:ascii="Times New Roman" w:hAnsi="Times New Roman" w:cs="Times New Roman"/>
          <w:bCs/>
        </w:rPr>
        <w:fldChar w:fldCharType="separate"/>
      </w:r>
      <w:r w:rsidR="000B1751" w:rsidRPr="000B1751">
        <w:rPr>
          <w:rFonts w:ascii="Times New Roman" w:hAnsi="Times New Roman" w:cs="Times New Roman"/>
        </w:rPr>
        <w:t>(de Ruig et al., 2023; Moradzadeh &amp; Ahmadi, 2024; Tierolf et al., 2023)</w:t>
      </w:r>
      <w:r w:rsidR="00E14D35" w:rsidRPr="00D458EF">
        <w:rPr>
          <w:rFonts w:ascii="Times New Roman" w:hAnsi="Times New Roman" w:cs="Times New Roman"/>
          <w:bCs/>
        </w:rPr>
        <w:fldChar w:fldCharType="end"/>
      </w:r>
      <w:r w:rsidR="009364DB" w:rsidRPr="00D458EF">
        <w:rPr>
          <w:rFonts w:ascii="Times New Roman" w:hAnsi="Times New Roman" w:cs="Times New Roman"/>
          <w:bCs/>
        </w:rPr>
        <w:t>.</w:t>
      </w:r>
      <w:r w:rsidR="006F75DC" w:rsidRPr="00D458EF">
        <w:rPr>
          <w:rFonts w:ascii="Times New Roman" w:hAnsi="Times New Roman" w:cs="Times New Roman"/>
          <w:bCs/>
        </w:rPr>
        <w:t xml:space="preserve"> </w:t>
      </w:r>
      <w:r w:rsidR="00991A97" w:rsidRPr="00991A97">
        <w:rPr>
          <w:rFonts w:ascii="Times New Roman" w:hAnsi="Times New Roman" w:cs="Times New Roman"/>
          <w:bCs/>
        </w:rPr>
        <w:t>Yet insurance structures that differ systematically by housing tenure remain weakly represented.</w:t>
      </w:r>
      <w:r w:rsidR="00991A97">
        <w:rPr>
          <w:rFonts w:ascii="Times New Roman" w:hAnsi="Times New Roman" w:cs="Times New Roman" w:hint="eastAsia"/>
          <w:bCs/>
        </w:rPr>
        <w:t xml:space="preserve"> </w:t>
      </w:r>
      <w:r w:rsidR="001F7EF7" w:rsidRPr="00D458EF">
        <w:rPr>
          <w:rFonts w:ascii="Times New Roman" w:hAnsi="Times New Roman" w:cs="Times New Roman"/>
          <w:bCs/>
        </w:rPr>
        <w:t xml:space="preserve">Homeowners typically hold insurance covering both structures and contents, whereas renters are limited to </w:t>
      </w:r>
      <w:proofErr w:type="gramStart"/>
      <w:r w:rsidR="001F7EF7" w:rsidRPr="00D458EF">
        <w:rPr>
          <w:rFonts w:ascii="Times New Roman" w:hAnsi="Times New Roman" w:cs="Times New Roman"/>
          <w:bCs/>
        </w:rPr>
        <w:t>contents</w:t>
      </w:r>
      <w:proofErr w:type="gramEnd"/>
      <w:r w:rsidR="001F7EF7" w:rsidRPr="00D458EF">
        <w:rPr>
          <w:rFonts w:ascii="Times New Roman" w:hAnsi="Times New Roman" w:cs="Times New Roman"/>
          <w:bCs/>
        </w:rPr>
        <w:t xml:space="preserve">-only coverage. How these coverage asymmetries interact with tenure-differentiated adaptation trajectories to shape long-term insurance payouts and out-of-pocket </w:t>
      </w:r>
      <w:r w:rsidR="008E5943">
        <w:rPr>
          <w:rFonts w:ascii="Times New Roman" w:hAnsi="Times New Roman" w:cs="Times New Roman" w:hint="eastAsia"/>
          <w:bCs/>
        </w:rPr>
        <w:t xml:space="preserve">(OOP) </w:t>
      </w:r>
      <w:r w:rsidR="001F7EF7" w:rsidRPr="00D458EF">
        <w:rPr>
          <w:rFonts w:ascii="Times New Roman" w:hAnsi="Times New Roman" w:cs="Times New Roman"/>
          <w:bCs/>
        </w:rPr>
        <w:t xml:space="preserve">losses </w:t>
      </w:r>
      <w:r w:rsidR="0015652F" w:rsidRPr="00D458EF">
        <w:rPr>
          <w:rFonts w:ascii="Times New Roman" w:hAnsi="Times New Roman" w:cs="Times New Roman"/>
          <w:bCs/>
        </w:rPr>
        <w:t>remain</w:t>
      </w:r>
      <w:r w:rsidR="001F7EF7" w:rsidRPr="00D458EF">
        <w:rPr>
          <w:rFonts w:ascii="Times New Roman" w:hAnsi="Times New Roman" w:cs="Times New Roman"/>
          <w:bCs/>
        </w:rPr>
        <w:t xml:space="preserve"> unclear. This gap motivates the third scientific question (SQ3): </w:t>
      </w:r>
      <w:r w:rsidR="001F7EF7" w:rsidRPr="00D458EF">
        <w:rPr>
          <w:rFonts w:ascii="Times New Roman" w:hAnsi="Times New Roman" w:cs="Times New Roman"/>
          <w:i/>
          <w:iCs/>
        </w:rPr>
        <w:t>how do tenure-based insurance coverage differences shape long-term financial outcomes under repeated flood exposure?</w:t>
      </w:r>
    </w:p>
    <w:p w14:paraId="6E58B865" w14:textId="77777777" w:rsidR="001F7EF7" w:rsidRPr="00D458EF" w:rsidRDefault="001F7EF7" w:rsidP="001760F5">
      <w:pPr>
        <w:pStyle w:val="a3"/>
        <w:spacing w:line="360" w:lineRule="auto"/>
        <w:ind w:leftChars="0" w:left="1440"/>
        <w:jc w:val="both"/>
        <w:rPr>
          <w:rFonts w:ascii="Times New Roman" w:hAnsi="Times New Roman" w:cs="Times New Roman"/>
          <w:bCs/>
        </w:rPr>
      </w:pPr>
    </w:p>
    <w:p w14:paraId="1D3B92B7" w14:textId="2BBB5566" w:rsidR="00854630" w:rsidRPr="00D74ED8" w:rsidRDefault="000310C0" w:rsidP="001760F5">
      <w:pPr>
        <w:pStyle w:val="a3"/>
        <w:numPr>
          <w:ilvl w:val="2"/>
          <w:numId w:val="10"/>
        </w:numPr>
        <w:spacing w:line="360" w:lineRule="auto"/>
        <w:ind w:leftChars="0"/>
        <w:jc w:val="both"/>
        <w:rPr>
          <w:rFonts w:ascii="Times New Roman" w:hAnsi="Times New Roman" w:cs="Times New Roman"/>
          <w:bCs/>
        </w:rPr>
      </w:pPr>
      <w:r w:rsidRPr="00D458EF">
        <w:rPr>
          <w:rFonts w:ascii="Times New Roman" w:hAnsi="Times New Roman" w:cs="Times New Roman"/>
          <w:bCs/>
        </w:rPr>
        <w:t>Resea</w:t>
      </w:r>
      <w:r w:rsidR="0034563C" w:rsidRPr="00D458EF">
        <w:rPr>
          <w:rFonts w:ascii="Times New Roman" w:hAnsi="Times New Roman" w:cs="Times New Roman"/>
          <w:bCs/>
        </w:rPr>
        <w:t>rch Objective</w:t>
      </w:r>
    </w:p>
    <w:p w14:paraId="4DBDEDCD" w14:textId="2BD9E3A8" w:rsidR="00540D20" w:rsidRPr="00D458EF" w:rsidRDefault="00D25720" w:rsidP="001760F5">
      <w:pPr>
        <w:pStyle w:val="a3"/>
        <w:spacing w:line="360" w:lineRule="auto"/>
        <w:ind w:leftChars="0" w:left="1440"/>
        <w:jc w:val="both"/>
        <w:rPr>
          <w:rFonts w:ascii="Times New Roman" w:hAnsi="Times New Roman" w:cs="Times New Roman"/>
          <w:bCs/>
        </w:rPr>
      </w:pPr>
      <w:r w:rsidRPr="00D458EF">
        <w:rPr>
          <w:rFonts w:ascii="Times New Roman" w:hAnsi="Times New Roman" w:cs="Times New Roman"/>
          <w:b/>
          <w:bCs/>
        </w:rPr>
        <w:tab/>
      </w:r>
      <w:r w:rsidR="00080947" w:rsidRPr="00D458EF">
        <w:rPr>
          <w:rFonts w:ascii="Times New Roman" w:hAnsi="Times New Roman" w:cs="Times New Roman"/>
        </w:rPr>
        <w:t xml:space="preserve">To address these gaps, this study develops a coupled agent-based and catastrophe modeling framework that integrates housing tenure, behavioral adaptation, and financial outcomes under </w:t>
      </w:r>
      <w:r w:rsidR="00875308" w:rsidRPr="00D458EF">
        <w:rPr>
          <w:rFonts w:ascii="Times New Roman" w:hAnsi="Times New Roman" w:cs="Times New Roman"/>
        </w:rPr>
        <w:t>historical flood events</w:t>
      </w:r>
      <w:r w:rsidR="00080947" w:rsidRPr="00D458EF">
        <w:rPr>
          <w:rFonts w:ascii="Times New Roman" w:hAnsi="Times New Roman" w:cs="Times New Roman"/>
        </w:rPr>
        <w:t xml:space="preserve">. Rather than examining isolated decisions or short-term responses, the framework captures how adaptive behaviors accumulate, persist, or dissipate over time, and how these dynamics differ systematically between renters and homeowners. By explicitly representing social heterogeneity as a tract-level structural context, the model enables assessment of how tenure-based constraints and shared social environments jointly shape long-term flood damage, insurance participation, and </w:t>
      </w:r>
      <w:r w:rsidR="00DC680D">
        <w:rPr>
          <w:rFonts w:ascii="Times New Roman" w:hAnsi="Times New Roman" w:cs="Times New Roman"/>
          <w:bCs/>
        </w:rPr>
        <w:t>actual</w:t>
      </w:r>
      <w:r w:rsidR="00080947" w:rsidRPr="00D458EF">
        <w:rPr>
          <w:rFonts w:ascii="Times New Roman" w:hAnsi="Times New Roman" w:cs="Times New Roman"/>
        </w:rPr>
        <w:t xml:space="preserve"> financial losses.</w:t>
      </w:r>
    </w:p>
    <w:p w14:paraId="3D36BE0F" w14:textId="77777777" w:rsidR="00D25720" w:rsidRPr="00D458EF" w:rsidRDefault="00D25720" w:rsidP="001760F5">
      <w:pPr>
        <w:pStyle w:val="a3"/>
        <w:spacing w:line="360" w:lineRule="auto"/>
        <w:ind w:leftChars="0" w:left="1440"/>
        <w:jc w:val="both"/>
        <w:rPr>
          <w:rFonts w:ascii="Times New Roman" w:hAnsi="Times New Roman" w:cs="Times New Roman"/>
          <w:bCs/>
        </w:rPr>
      </w:pPr>
    </w:p>
    <w:p w14:paraId="2014B853" w14:textId="1C0FE78E" w:rsidR="00273390" w:rsidRPr="00D74ED8" w:rsidRDefault="00B62AE1" w:rsidP="001760F5">
      <w:pPr>
        <w:pStyle w:val="a3"/>
        <w:numPr>
          <w:ilvl w:val="2"/>
          <w:numId w:val="10"/>
        </w:numPr>
        <w:spacing w:line="360" w:lineRule="auto"/>
        <w:ind w:leftChars="0"/>
        <w:jc w:val="both"/>
        <w:rPr>
          <w:rFonts w:ascii="Times New Roman" w:hAnsi="Times New Roman" w:cs="Times New Roman"/>
          <w:bCs/>
        </w:rPr>
      </w:pPr>
      <w:r w:rsidRPr="00D458EF">
        <w:rPr>
          <w:rFonts w:ascii="Times New Roman" w:hAnsi="Times New Roman" w:cs="Times New Roman"/>
          <w:bCs/>
        </w:rPr>
        <w:t>Paper section</w:t>
      </w:r>
    </w:p>
    <w:p w14:paraId="3AF01065" w14:textId="07AF44FE" w:rsidR="00D00CC0" w:rsidRPr="00D458EF" w:rsidRDefault="00D74ED8" w:rsidP="001760F5">
      <w:pPr>
        <w:pStyle w:val="a3"/>
        <w:spacing w:line="360" w:lineRule="auto"/>
        <w:ind w:leftChars="0" w:left="1440"/>
        <w:jc w:val="both"/>
        <w:rPr>
          <w:rFonts w:ascii="Times New Roman" w:hAnsi="Times New Roman" w:cs="Times New Roman"/>
          <w:highlight w:val="yellow"/>
        </w:rPr>
      </w:pPr>
      <w:r>
        <w:rPr>
          <w:rFonts w:ascii="Times New Roman" w:hAnsi="Times New Roman" w:cs="Times New Roman"/>
        </w:rPr>
        <w:tab/>
      </w:r>
      <w:r w:rsidR="003F43E3" w:rsidRPr="00D458EF">
        <w:rPr>
          <w:rFonts w:ascii="Times New Roman" w:hAnsi="Times New Roman" w:cs="Times New Roman"/>
        </w:rPr>
        <w:t>This paper is organized as follows.</w:t>
      </w:r>
      <w:r w:rsidR="003F43E3" w:rsidRPr="00D458EF">
        <w:rPr>
          <w:rFonts w:ascii="Times New Roman" w:hAnsi="Times New Roman" w:cs="Times New Roman"/>
          <w:bCs/>
        </w:rPr>
        <w:t xml:space="preserve"> Section 2 introduces the study area and data. Section 3 describes the coupled modeling framework and scenario design. Section 4 presents the simulation results. Section 5 discusses implications, limitations, and sensitivity analyses. Section 6 concludes the paper.</w:t>
      </w:r>
    </w:p>
    <w:p w14:paraId="5CD28693" w14:textId="20B19FB1" w:rsidR="00F66BD9" w:rsidRPr="00D458EF" w:rsidRDefault="00F66BD9" w:rsidP="001760F5">
      <w:pPr>
        <w:pStyle w:val="a3"/>
        <w:numPr>
          <w:ilvl w:val="0"/>
          <w:numId w:val="21"/>
        </w:numPr>
        <w:spacing w:line="360" w:lineRule="auto"/>
        <w:ind w:leftChars="0" w:left="357" w:hanging="357"/>
        <w:jc w:val="both"/>
        <w:outlineLvl w:val="0"/>
        <w:rPr>
          <w:rFonts w:ascii="Times New Roman" w:hAnsi="Times New Roman" w:cs="Times New Roman"/>
          <w:b/>
        </w:rPr>
      </w:pPr>
      <w:r w:rsidRPr="00D458EF">
        <w:rPr>
          <w:rFonts w:ascii="Times New Roman" w:hAnsi="Times New Roman" w:cs="Times New Roman"/>
          <w:b/>
        </w:rPr>
        <w:lastRenderedPageBreak/>
        <w:t>Study Area</w:t>
      </w:r>
    </w:p>
    <w:p w14:paraId="405A5A19" w14:textId="7AC5981D" w:rsidR="000B34C0" w:rsidRPr="00D458EF" w:rsidRDefault="00F66BD9" w:rsidP="001760F5">
      <w:pPr>
        <w:pStyle w:val="a3"/>
        <w:numPr>
          <w:ilvl w:val="0"/>
          <w:numId w:val="20"/>
        </w:numPr>
        <w:spacing w:line="360" w:lineRule="auto"/>
        <w:ind w:leftChars="0"/>
        <w:jc w:val="both"/>
        <w:rPr>
          <w:rFonts w:ascii="Times New Roman" w:hAnsi="Times New Roman" w:cs="Times New Roman"/>
          <w:bCs/>
        </w:rPr>
      </w:pPr>
      <w:r w:rsidRPr="00D458EF">
        <w:rPr>
          <w:rFonts w:ascii="Times New Roman" w:hAnsi="Times New Roman" w:cs="Times New Roman"/>
          <w:bCs/>
        </w:rPr>
        <w:t>Overview of the Passaic River Basin</w:t>
      </w:r>
    </w:p>
    <w:p w14:paraId="519BD7C1" w14:textId="77777777" w:rsidR="004F1074" w:rsidRPr="00D458EF" w:rsidRDefault="004F1074" w:rsidP="001760F5">
      <w:pPr>
        <w:pStyle w:val="a3"/>
        <w:spacing w:line="360" w:lineRule="auto"/>
        <w:ind w:leftChars="0" w:left="1440"/>
        <w:jc w:val="both"/>
        <w:rPr>
          <w:rFonts w:ascii="Times New Roman" w:hAnsi="Times New Roman" w:cs="Times New Roman"/>
          <w:bCs/>
        </w:rPr>
      </w:pPr>
    </w:p>
    <w:p w14:paraId="3670B0C0" w14:textId="1B1FC172" w:rsidR="004F1074" w:rsidRPr="00D458EF" w:rsidRDefault="00D74ED8" w:rsidP="001760F5">
      <w:pPr>
        <w:pStyle w:val="a3"/>
        <w:spacing w:line="360" w:lineRule="auto"/>
        <w:ind w:leftChars="0" w:left="1440"/>
        <w:jc w:val="both"/>
        <w:rPr>
          <w:rFonts w:ascii="Times New Roman" w:hAnsi="Times New Roman" w:cs="Times New Roman"/>
          <w:bCs/>
        </w:rPr>
      </w:pPr>
      <w:r>
        <w:rPr>
          <w:rFonts w:ascii="Times New Roman" w:hAnsi="Times New Roman" w:cs="Times New Roman"/>
          <w:bCs/>
        </w:rPr>
        <w:tab/>
      </w:r>
      <w:r w:rsidR="00373932" w:rsidRPr="00D458EF">
        <w:rPr>
          <w:rFonts w:ascii="Times New Roman" w:hAnsi="Times New Roman" w:cs="Times New Roman"/>
          <w:bCs/>
        </w:rPr>
        <w:t>This research centers on the Passaic River Basin (PRB) in northern New Jersey (Figure 1), recognized as one of the most flood-susceptible areas in the northeastern United States.</w:t>
      </w:r>
      <w:r w:rsidR="004F1074" w:rsidRPr="00D458EF">
        <w:rPr>
          <w:rFonts w:ascii="Times New Roman" w:hAnsi="Times New Roman" w:cs="Times New Roman"/>
          <w:bCs/>
        </w:rPr>
        <w:t xml:space="preserve"> PRB </w:t>
      </w:r>
      <w:r w:rsidR="00373932" w:rsidRPr="00D458EF">
        <w:rPr>
          <w:rFonts w:ascii="Times New Roman" w:hAnsi="Times New Roman" w:cs="Times New Roman"/>
          <w:bCs/>
        </w:rPr>
        <w:t>experiences recurrent inland flooding driven by heavy rainfall and tropical cyclones</w:t>
      </w:r>
      <w:r w:rsidR="00E42C3C" w:rsidRPr="00D458EF">
        <w:rPr>
          <w:rFonts w:ascii="Times New Roman" w:hAnsi="Times New Roman" w:cs="Times New Roman"/>
          <w:bCs/>
        </w:rPr>
        <w:t xml:space="preserve"> </w:t>
      </w:r>
      <w:r w:rsidR="00E42C3C" w:rsidRPr="00D458EF">
        <w:rPr>
          <w:rFonts w:ascii="Times New Roman" w:hAnsi="Times New Roman" w:cs="Times New Roman"/>
          <w:bCs/>
        </w:rPr>
        <w:fldChar w:fldCharType="begin"/>
      </w:r>
      <w:r w:rsidR="00BA437D" w:rsidRPr="00D458EF">
        <w:rPr>
          <w:rFonts w:ascii="Times New Roman" w:hAnsi="Times New Roman" w:cs="Times New Roman"/>
          <w:bCs/>
        </w:rPr>
        <w:instrText xml:space="preserve"> ADDIN ZOTERO_ITEM CSL_CITATION {"citationID":"aZf4Z31R","properties":{"formattedCitation":"(USACE, 2024)","plainCitation":"(USACE, 2024)","noteIndex":0},"citationItems":[{"id":1822,"uris":["http://zotero.org/users/14772686/items/VSHXNLQV"],"itemData":{"id":1822,"type":"webpage","note":"Published: U.S. Army Corps of Engineers","title":"Fact Sheet: Passaic River Mainstem and Tributaries, NJ","URL":"https://www.nan.usace.army.mil/Media/Fact-Sheets/Fact-Sheet-Article-View/Article/487436/fact-sheet-passaic-river-mainstem-and-tributaries-nj/","author":[{"family":"USACE","given":""}],"accessed":{"date-parts":[["2025",5,3]]},"issued":{"date-parts":[["2024"]]}}}],"schema":"https://github.com/citation-style-language/schema/raw/master/csl-citation.json"} </w:instrText>
      </w:r>
      <w:r w:rsidR="00E42C3C" w:rsidRPr="00D458EF">
        <w:rPr>
          <w:rFonts w:ascii="Times New Roman" w:hAnsi="Times New Roman" w:cs="Times New Roman"/>
          <w:bCs/>
        </w:rPr>
        <w:fldChar w:fldCharType="separate"/>
      </w:r>
      <w:r w:rsidR="007F122E" w:rsidRPr="00D458EF">
        <w:rPr>
          <w:rFonts w:ascii="Times New Roman" w:hAnsi="Times New Roman" w:cs="Times New Roman"/>
        </w:rPr>
        <w:t>(USACE, 2024)</w:t>
      </w:r>
      <w:r w:rsidR="00E42C3C" w:rsidRPr="00D458EF">
        <w:rPr>
          <w:rFonts w:ascii="Times New Roman" w:hAnsi="Times New Roman" w:cs="Times New Roman"/>
          <w:bCs/>
        </w:rPr>
        <w:fldChar w:fldCharType="end"/>
      </w:r>
      <w:r w:rsidR="004F1074" w:rsidRPr="00D458EF">
        <w:rPr>
          <w:rFonts w:ascii="Times New Roman" w:hAnsi="Times New Roman" w:cs="Times New Roman"/>
          <w:bCs/>
        </w:rPr>
        <w:t xml:space="preserve">. </w:t>
      </w:r>
      <w:r w:rsidR="003618F7" w:rsidRPr="00D458EF">
        <w:rPr>
          <w:rFonts w:ascii="Times New Roman" w:hAnsi="Times New Roman" w:cs="Times New Roman"/>
          <w:bCs/>
        </w:rPr>
        <w:t xml:space="preserve">Past events, including Hurricanes Irene (2011) and Ida (2021), caused record-high inundation, leading to more than 40 fatalities and economic losses exceeding USD 13 billion </w:t>
      </w:r>
      <w:r w:rsidR="00E42C3C" w:rsidRPr="00D458EF">
        <w:rPr>
          <w:rFonts w:ascii="Times New Roman" w:hAnsi="Times New Roman" w:cs="Times New Roman"/>
          <w:bCs/>
        </w:rPr>
        <w:fldChar w:fldCharType="begin"/>
      </w:r>
      <w:r w:rsidR="00BA437D" w:rsidRPr="00D458EF">
        <w:rPr>
          <w:rFonts w:ascii="Times New Roman" w:hAnsi="Times New Roman" w:cs="Times New Roman"/>
          <w:bCs/>
        </w:rPr>
        <w:instrText xml:space="preserve"> ADDIN ZOTERO_ITEM CSL_CITATION {"citationID":"s0ovMgdK","properties":{"formattedCitation":"(FEMA, 2021a; NJDEP, 2023)","plainCitation":"(FEMA, 2021a; NJDEP, 2023)","noteIndex":0},"citationItems":[{"id":1682,"uris":["http://zotero.org/users/14772686/items/SRR6DEFG"],"itemData":{"id":1682,"type":"report","publisher":"Federal Emergency Management Agency","title":"FEMA Risk Rating 2.0 – Equity in Action vs Old Rating Methodology: NFIP New York Rate Analysis Comparison","URL":"https://www.fema.gov/sites/default/files/documents/fema_new-york-state-profile_04-2025.pdf","author":[{"literal":"FEMA"}],"accessed":{"date-parts":[["2025",4,18]]},"issued":{"date-parts":[["2021",10]]}}},{"id":1170,"uris":["http://zotero.org/users/14772686/items/ZFFZQLPH"],"itemData":{"id":1170,"type":"report","publisher":"New Jersey Department of Community Affairs","title":"Blue Acres CDBG-DR Policy Manual","URL":"https://www.nj.gov/dca/ddrm/pdf_docs/Blue%20Acres%20CDBG-DR%20Policy%20Manual%20V2_508.pdf","author":[{"family":"NJDEP","given":""}],"accessed":{"date-parts":[["2025",1,6]]},"issued":{"date-parts":[["2023"]]}}}],"schema":"https://github.com/citation-style-language/schema/raw/master/csl-citation.json"} </w:instrText>
      </w:r>
      <w:r w:rsidR="00E42C3C" w:rsidRPr="00D458EF">
        <w:rPr>
          <w:rFonts w:ascii="Times New Roman" w:hAnsi="Times New Roman" w:cs="Times New Roman"/>
          <w:bCs/>
        </w:rPr>
        <w:fldChar w:fldCharType="separate"/>
      </w:r>
      <w:r w:rsidR="00944A95" w:rsidRPr="00D458EF">
        <w:rPr>
          <w:rFonts w:ascii="Times New Roman" w:hAnsi="Times New Roman" w:cs="Times New Roman"/>
        </w:rPr>
        <w:t>(FEMA, 2021a; NJDEP, 2023)</w:t>
      </w:r>
      <w:r w:rsidR="00E42C3C" w:rsidRPr="00D458EF">
        <w:rPr>
          <w:rFonts w:ascii="Times New Roman" w:hAnsi="Times New Roman" w:cs="Times New Roman"/>
          <w:bCs/>
        </w:rPr>
        <w:fldChar w:fldCharType="end"/>
      </w:r>
      <w:r w:rsidR="004F1074" w:rsidRPr="00D458EF">
        <w:rPr>
          <w:rFonts w:ascii="Times New Roman" w:hAnsi="Times New Roman" w:cs="Times New Roman"/>
          <w:bCs/>
        </w:rPr>
        <w:t>. The basin’s mixed land-use pattern, dense urban development, and complex river network</w:t>
      </w:r>
      <w:r w:rsidR="00C95C03" w:rsidRPr="00D458EF">
        <w:rPr>
          <w:rFonts w:ascii="Times New Roman" w:hAnsi="Times New Roman" w:cs="Times New Roman"/>
          <w:bCs/>
        </w:rPr>
        <w:t>, including</w:t>
      </w:r>
      <w:r w:rsidR="004F1074" w:rsidRPr="00D458EF">
        <w:rPr>
          <w:rFonts w:ascii="Times New Roman" w:hAnsi="Times New Roman" w:cs="Times New Roman"/>
          <w:bCs/>
        </w:rPr>
        <w:t xml:space="preserve"> the Passaic, Pompton, and Rockaway Rivers</w:t>
      </w:r>
      <w:r w:rsidR="00C95C03" w:rsidRPr="00D458EF">
        <w:rPr>
          <w:rFonts w:ascii="Times New Roman" w:hAnsi="Times New Roman" w:cs="Times New Roman"/>
          <w:bCs/>
        </w:rPr>
        <w:t xml:space="preserve">, </w:t>
      </w:r>
      <w:r w:rsidR="004F1074" w:rsidRPr="00D458EF">
        <w:rPr>
          <w:rFonts w:ascii="Times New Roman" w:hAnsi="Times New Roman" w:cs="Times New Roman"/>
          <w:bCs/>
        </w:rPr>
        <w:t>exacerbate runoff accumulation and downstream flooding.</w:t>
      </w:r>
    </w:p>
    <w:p w14:paraId="3B3318F8" w14:textId="77777777" w:rsidR="004F1074" w:rsidRPr="00D458EF" w:rsidRDefault="004F1074" w:rsidP="001760F5">
      <w:pPr>
        <w:pStyle w:val="a3"/>
        <w:spacing w:line="360" w:lineRule="auto"/>
        <w:ind w:leftChars="0" w:left="1440"/>
        <w:jc w:val="both"/>
        <w:rPr>
          <w:rFonts w:ascii="Times New Roman" w:hAnsi="Times New Roman" w:cs="Times New Roman"/>
          <w:bCs/>
        </w:rPr>
      </w:pPr>
    </w:p>
    <w:p w14:paraId="1DA348D0" w14:textId="394A60C3" w:rsidR="00FE515A" w:rsidRPr="00D458EF" w:rsidRDefault="0007345D" w:rsidP="001760F5">
      <w:pPr>
        <w:pStyle w:val="a3"/>
        <w:numPr>
          <w:ilvl w:val="0"/>
          <w:numId w:val="20"/>
        </w:numPr>
        <w:spacing w:line="360" w:lineRule="auto"/>
        <w:ind w:leftChars="0"/>
        <w:jc w:val="both"/>
        <w:rPr>
          <w:rFonts w:ascii="Times New Roman" w:hAnsi="Times New Roman" w:cs="Times New Roman"/>
          <w:bCs/>
        </w:rPr>
      </w:pPr>
      <w:r w:rsidRPr="00D458EF">
        <w:rPr>
          <w:rFonts w:ascii="Times New Roman" w:hAnsi="Times New Roman" w:cs="Times New Roman"/>
          <w:bCs/>
        </w:rPr>
        <w:t>T</w:t>
      </w:r>
      <w:r w:rsidR="00FE515A" w:rsidRPr="00D458EF">
        <w:rPr>
          <w:rFonts w:ascii="Times New Roman" w:hAnsi="Times New Roman" w:cs="Times New Roman"/>
          <w:bCs/>
        </w:rPr>
        <w:t>arget</w:t>
      </w:r>
      <w:r w:rsidRPr="00D458EF">
        <w:rPr>
          <w:rFonts w:ascii="Times New Roman" w:hAnsi="Times New Roman" w:cs="Times New Roman"/>
          <w:bCs/>
        </w:rPr>
        <w:t>ed</w:t>
      </w:r>
      <w:r w:rsidR="00FE515A" w:rsidRPr="00D458EF">
        <w:rPr>
          <w:rFonts w:ascii="Times New Roman" w:hAnsi="Times New Roman" w:cs="Times New Roman"/>
          <w:bCs/>
        </w:rPr>
        <w:t xml:space="preserve"> </w:t>
      </w:r>
      <w:r w:rsidRPr="00D458EF">
        <w:rPr>
          <w:rFonts w:ascii="Times New Roman" w:hAnsi="Times New Roman" w:cs="Times New Roman"/>
          <w:bCs/>
        </w:rPr>
        <w:t>T</w:t>
      </w:r>
      <w:r w:rsidR="00FE515A" w:rsidRPr="00D458EF">
        <w:rPr>
          <w:rFonts w:ascii="Times New Roman" w:hAnsi="Times New Roman" w:cs="Times New Roman"/>
          <w:bCs/>
        </w:rPr>
        <w:t xml:space="preserve">ract and </w:t>
      </w:r>
      <w:r w:rsidRPr="00D458EF">
        <w:rPr>
          <w:rFonts w:ascii="Times New Roman" w:hAnsi="Times New Roman" w:cs="Times New Roman"/>
          <w:bCs/>
        </w:rPr>
        <w:t>S</w:t>
      </w:r>
      <w:r w:rsidR="00FE515A" w:rsidRPr="00D458EF">
        <w:rPr>
          <w:rFonts w:ascii="Times New Roman" w:hAnsi="Times New Roman" w:cs="Times New Roman"/>
          <w:bCs/>
        </w:rPr>
        <w:t xml:space="preserve">hare of </w:t>
      </w:r>
      <w:r w:rsidRPr="00D458EF">
        <w:rPr>
          <w:rFonts w:ascii="Times New Roman" w:hAnsi="Times New Roman" w:cs="Times New Roman"/>
          <w:bCs/>
        </w:rPr>
        <w:t>M</w:t>
      </w:r>
      <w:r w:rsidR="00FE515A" w:rsidRPr="00D458EF">
        <w:rPr>
          <w:rFonts w:ascii="Times New Roman" w:hAnsi="Times New Roman" w:cs="Times New Roman"/>
          <w:bCs/>
        </w:rPr>
        <w:t xml:space="preserve">arginalized </w:t>
      </w:r>
      <w:r w:rsidRPr="00D458EF">
        <w:rPr>
          <w:rFonts w:ascii="Times New Roman" w:hAnsi="Times New Roman" w:cs="Times New Roman"/>
          <w:bCs/>
        </w:rPr>
        <w:t>G</w:t>
      </w:r>
      <w:r w:rsidR="00FE515A" w:rsidRPr="00D458EF">
        <w:rPr>
          <w:rFonts w:ascii="Times New Roman" w:hAnsi="Times New Roman" w:cs="Times New Roman"/>
          <w:bCs/>
        </w:rPr>
        <w:t>roups</w:t>
      </w:r>
    </w:p>
    <w:p w14:paraId="535510B1" w14:textId="77777777" w:rsidR="00A02304" w:rsidRPr="00D458EF" w:rsidRDefault="00A02304" w:rsidP="001760F5">
      <w:pPr>
        <w:pStyle w:val="a3"/>
        <w:spacing w:line="360" w:lineRule="auto"/>
        <w:ind w:leftChars="0" w:left="1440"/>
        <w:jc w:val="both"/>
        <w:rPr>
          <w:rFonts w:ascii="Times New Roman" w:hAnsi="Times New Roman" w:cs="Times New Roman"/>
          <w:bCs/>
        </w:rPr>
      </w:pPr>
    </w:p>
    <w:p w14:paraId="7A8D2E82" w14:textId="41CCB9C3" w:rsidR="00A02304" w:rsidRPr="00D458EF" w:rsidRDefault="00D74ED8" w:rsidP="001760F5">
      <w:pPr>
        <w:pStyle w:val="a3"/>
        <w:spacing w:line="360" w:lineRule="auto"/>
        <w:ind w:leftChars="0" w:left="1440"/>
        <w:jc w:val="both"/>
        <w:rPr>
          <w:rFonts w:ascii="Times New Roman" w:hAnsi="Times New Roman" w:cs="Times New Roman"/>
          <w:bCs/>
        </w:rPr>
      </w:pPr>
      <w:r>
        <w:rPr>
          <w:rFonts w:ascii="Times New Roman" w:hAnsi="Times New Roman" w:cs="Times New Roman"/>
          <w:bCs/>
        </w:rPr>
        <w:tab/>
      </w:r>
      <w:r w:rsidR="00A02304" w:rsidRPr="00D458EF">
        <w:rPr>
          <w:rFonts w:ascii="Times New Roman" w:hAnsi="Times New Roman" w:cs="Times New Roman"/>
          <w:bCs/>
        </w:rPr>
        <w:t>The analysis focuses on 27 census tracts located within Morris, Passaic, and Essex Counties, which overlap with the hydrodynamic flood-model domain along the Passaic and Pompton Rivers (</w:t>
      </w:r>
      <w:r w:rsidR="00A02304" w:rsidRPr="00284467">
        <w:rPr>
          <w:rFonts w:ascii="Times New Roman" w:hAnsi="Times New Roman" w:cs="Times New Roman"/>
          <w:b/>
        </w:rPr>
        <w:t>Figure 1</w:t>
      </w:r>
      <w:r w:rsidR="00A02304" w:rsidRPr="00D458EF">
        <w:rPr>
          <w:rFonts w:ascii="Times New Roman" w:hAnsi="Times New Roman" w:cs="Times New Roman"/>
          <w:bCs/>
        </w:rPr>
        <w:t xml:space="preserve">). The proportion of MG in each tract was estimated using the HAZUS tract-level National Inventory </w:t>
      </w:r>
      <w:r w:rsidR="000012B2" w:rsidRPr="00D458EF">
        <w:rPr>
          <w:rFonts w:ascii="Times New Roman" w:hAnsi="Times New Roman" w:cs="Times New Roman"/>
          <w:bCs/>
        </w:rPr>
        <w:fldChar w:fldCharType="begin"/>
      </w:r>
      <w:r w:rsidR="00BA437D" w:rsidRPr="00D458EF">
        <w:rPr>
          <w:rFonts w:ascii="Times New Roman" w:hAnsi="Times New Roman" w:cs="Times New Roman"/>
          <w:bCs/>
        </w:rPr>
        <w:instrText xml:space="preserve"> ADDIN ZOTERO_ITEM CSL_CITATION {"citationID":"OpLyNQEJ","properties":{"formattedCitation":"(Federal Emergency Management Agency (FEMA), 2023)","plainCitation":"(Federal Emergency Management Agency (FEMA), 2023)","dontUpdate":true,"noteIndex":0},"citationItems":[{"id":1939,"uris":["http://zotero.org/users/14772686/items/PIJSV7VS"],"itemData":{"id":1939,"type":"document","note":"publisher-place: Washington, DC","publisher":"Federal Emergency Management Agency","title":"HAZUS Inventory National Database","URL":"https://www.fema.gov/flood-maps/products-tools/hazus","author":[{"literal":"FEMA"}],"issued":{"date-parts":[["2023"]]}}}],"schema":"https://github.com/citation-style-language/schema/raw/master/csl-citation.json"} </w:instrText>
      </w:r>
      <w:r w:rsidR="000012B2" w:rsidRPr="00D458EF">
        <w:rPr>
          <w:rFonts w:ascii="Times New Roman" w:hAnsi="Times New Roman" w:cs="Times New Roman"/>
          <w:bCs/>
        </w:rPr>
        <w:fldChar w:fldCharType="separate"/>
      </w:r>
      <w:r w:rsidR="000012B2" w:rsidRPr="00D458EF">
        <w:rPr>
          <w:rFonts w:ascii="Times New Roman" w:hAnsi="Times New Roman" w:cs="Times New Roman"/>
        </w:rPr>
        <w:t>(FEMA, 2023)</w:t>
      </w:r>
      <w:r w:rsidR="000012B2" w:rsidRPr="00D458EF">
        <w:rPr>
          <w:rFonts w:ascii="Times New Roman" w:hAnsi="Times New Roman" w:cs="Times New Roman"/>
          <w:bCs/>
        </w:rPr>
        <w:fldChar w:fldCharType="end"/>
      </w:r>
      <w:r w:rsidR="000012B2" w:rsidRPr="00D458EF">
        <w:rPr>
          <w:rFonts w:ascii="Times New Roman" w:hAnsi="Times New Roman" w:cs="Times New Roman"/>
          <w:bCs/>
        </w:rPr>
        <w:t xml:space="preserve"> </w:t>
      </w:r>
      <w:r w:rsidR="00A02304" w:rsidRPr="00D458EF">
        <w:rPr>
          <w:rFonts w:ascii="Times New Roman" w:hAnsi="Times New Roman" w:cs="Times New Roman"/>
          <w:bCs/>
        </w:rPr>
        <w:t xml:space="preserve">and </w:t>
      </w:r>
      <w:r w:rsidR="00C95C03" w:rsidRPr="00D458EF">
        <w:rPr>
          <w:rFonts w:ascii="Times New Roman" w:hAnsi="Times New Roman" w:cs="Times New Roman"/>
          <w:bCs/>
        </w:rPr>
        <w:t xml:space="preserve">tract-level demographic </w:t>
      </w:r>
      <w:r w:rsidR="000012B2" w:rsidRPr="00D458EF">
        <w:rPr>
          <w:rFonts w:ascii="Times New Roman" w:hAnsi="Times New Roman" w:cs="Times New Roman"/>
          <w:bCs/>
        </w:rPr>
        <w:t>data</w:t>
      </w:r>
      <w:r w:rsidR="00C95C03" w:rsidRPr="00D458EF">
        <w:rPr>
          <w:rFonts w:ascii="Times New Roman" w:hAnsi="Times New Roman" w:cs="Times New Roman"/>
          <w:bCs/>
        </w:rPr>
        <w:t xml:space="preserve"> obtained from the American Community Survey (ACS) 5-Year Estimates </w:t>
      </w:r>
      <w:r w:rsidR="00C95C03" w:rsidRPr="00D458EF">
        <w:rPr>
          <w:rFonts w:ascii="Times New Roman" w:hAnsi="Times New Roman" w:cs="Times New Roman"/>
          <w:bCs/>
        </w:rPr>
        <w:fldChar w:fldCharType="begin"/>
      </w:r>
      <w:r w:rsidR="00BA437D" w:rsidRPr="00D458EF">
        <w:rPr>
          <w:rFonts w:ascii="Times New Roman" w:hAnsi="Times New Roman" w:cs="Times New Roman"/>
          <w:bCs/>
        </w:rPr>
        <w:instrText xml:space="preserve"> ADDIN ZOTERO_ITEM CSL_CITATION {"citationID":"8esQtQKB","properties":{"formattedCitation":"(U.S. Census Bureau, 2023)","plainCitation":"(U.S. Census Bureau, 2023)","noteIndex":0},"citationItems":[{"id":1935,"uris":["http://zotero.org/users/14772686/items/8295RRRT"],"itemData":{"id":1935,"type":"webpage","abstract":"Data available down to the block-group level. Covers a range of topics about social, economic, demographic, and housing characteristics of the U.S. population.","container-title":"Census.gov","language":"en","note":"section: Government","title":"American Community Survey 5-Year Data (2009-2023)","URL":"https://www.census.gov/data/developers/data-sets/acs-5year.html","author":[{"family":"U.S. Census Bureau","given":""}],"accessed":{"date-parts":[["2025",11,8]]},"issued":{"date-parts":[["2023"]]}}}],"schema":"https://github.com/citation-style-language/schema/raw/master/csl-citation.json"} </w:instrText>
      </w:r>
      <w:r w:rsidR="00C95C03" w:rsidRPr="00D458EF">
        <w:rPr>
          <w:rFonts w:ascii="Times New Roman" w:hAnsi="Times New Roman" w:cs="Times New Roman"/>
          <w:bCs/>
        </w:rPr>
        <w:fldChar w:fldCharType="separate"/>
      </w:r>
      <w:r w:rsidR="00C95C03" w:rsidRPr="00D458EF">
        <w:rPr>
          <w:rFonts w:ascii="Times New Roman" w:hAnsi="Times New Roman" w:cs="Times New Roman"/>
        </w:rPr>
        <w:t>(U.S. Census Bureau, 2023)</w:t>
      </w:r>
      <w:r w:rsidR="00C95C03" w:rsidRPr="00D458EF">
        <w:rPr>
          <w:rFonts w:ascii="Times New Roman" w:hAnsi="Times New Roman" w:cs="Times New Roman"/>
          <w:bCs/>
        </w:rPr>
        <w:fldChar w:fldCharType="end"/>
      </w:r>
      <w:r w:rsidR="00A02304" w:rsidRPr="00D458EF">
        <w:rPr>
          <w:rFonts w:ascii="Times New Roman" w:hAnsi="Times New Roman" w:cs="Times New Roman"/>
          <w:bCs/>
        </w:rPr>
        <w:t xml:space="preserve">. Across these tracts, the MG share ranges from 1 % to 20 %, with higher concentrations observed along flood-prone corridors near the Passaic and Pompton Rivers. This spatial variation provides a quantitative basis for evaluating how social heterogeneity influences household adaptation and financial outcomes under flood risk. </w:t>
      </w:r>
      <w:r w:rsidR="007F06D9" w:rsidRPr="00D458EF">
        <w:rPr>
          <w:rFonts w:ascii="Times New Roman" w:hAnsi="Times New Roman" w:cs="Times New Roman"/>
          <w:bCs/>
        </w:rPr>
        <w:t>In the subsequent modeling framework, the tract-level MG proportion is incorporated as a weighting factor that shapes the overall adoption probability of adaptation actions, linking social composition directly to behavioral dynamics</w:t>
      </w:r>
      <w:r w:rsidR="00AF7F94" w:rsidRPr="00D458EF">
        <w:rPr>
          <w:rFonts w:ascii="Times New Roman" w:hAnsi="Times New Roman" w:cs="Times New Roman"/>
          <w:bCs/>
        </w:rPr>
        <w:t>.</w:t>
      </w:r>
    </w:p>
    <w:p w14:paraId="326E78AA" w14:textId="77777777" w:rsidR="00A02304" w:rsidRPr="00D458EF" w:rsidRDefault="00A02304" w:rsidP="005B487C">
      <w:pPr>
        <w:pStyle w:val="a3"/>
        <w:spacing w:line="360" w:lineRule="auto"/>
        <w:ind w:leftChars="0" w:left="284" w:firstLine="240"/>
        <w:rPr>
          <w:rFonts w:ascii="Times New Roman" w:hAnsi="Times New Roman" w:cs="Times New Roman"/>
          <w:bCs/>
        </w:rPr>
      </w:pPr>
    </w:p>
    <w:p w14:paraId="29EA9466" w14:textId="6E421A53" w:rsidR="00A279F5" w:rsidRPr="00D458EF" w:rsidRDefault="003B40CC" w:rsidP="005B487C">
      <w:pPr>
        <w:pStyle w:val="a3"/>
        <w:spacing w:line="360" w:lineRule="auto"/>
        <w:ind w:leftChars="0" w:left="0" w:firstLineChars="129" w:firstLine="284"/>
        <w:rPr>
          <w:rFonts w:ascii="Times New Roman" w:hAnsi="Times New Roman" w:cs="Times New Roman"/>
          <w:bCs/>
        </w:rPr>
      </w:pPr>
      <w:r w:rsidRPr="00D458EF">
        <w:rPr>
          <w:rFonts w:ascii="Times New Roman" w:hAnsi="Times New Roman" w:cs="Times New Roman"/>
          <w:bCs/>
          <w:noProof/>
        </w:rPr>
        <w:lastRenderedPageBreak/>
        <w:drawing>
          <wp:inline distT="0" distB="0" distL="0" distR="0" wp14:anchorId="1438EFAD" wp14:editId="34EB7E4B">
            <wp:extent cx="5938520" cy="3843655"/>
            <wp:effectExtent l="0" t="0" r="5080" b="4445"/>
            <wp:docPr id="59540987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8520" cy="3843655"/>
                    </a:xfrm>
                    <a:prstGeom prst="rect">
                      <a:avLst/>
                    </a:prstGeom>
                    <a:noFill/>
                    <a:ln>
                      <a:noFill/>
                    </a:ln>
                  </pic:spPr>
                </pic:pic>
              </a:graphicData>
            </a:graphic>
          </wp:inline>
        </w:drawing>
      </w:r>
      <w:r w:rsidR="001916D5" w:rsidRPr="001916D5">
        <w:rPr>
          <w:rFonts w:ascii="Times New Roman" w:hAnsi="Times New Roman" w:cs="Times New Roman"/>
          <w:b/>
          <w:bCs/>
        </w:rPr>
        <w:t xml:space="preserve">Figure </w:t>
      </w:r>
      <w:r w:rsidR="00927384">
        <w:rPr>
          <w:rFonts w:ascii="Times New Roman" w:hAnsi="Times New Roman" w:cs="Times New Roman" w:hint="eastAsia"/>
          <w:b/>
          <w:bCs/>
        </w:rPr>
        <w:t>1</w:t>
      </w:r>
      <w:r w:rsidR="001916D5" w:rsidRPr="001916D5">
        <w:rPr>
          <w:rFonts w:ascii="Times New Roman" w:hAnsi="Times New Roman" w:cs="Times New Roman"/>
          <w:b/>
          <w:bCs/>
        </w:rPr>
        <w:t xml:space="preserve">. </w:t>
      </w:r>
      <w:r w:rsidR="001C02C3" w:rsidRPr="001C02C3">
        <w:rPr>
          <w:rFonts w:ascii="Times New Roman" w:hAnsi="Times New Roman" w:cs="Times New Roman"/>
        </w:rPr>
        <w:t>Study area and flood model domain with MG distribution.</w:t>
      </w:r>
    </w:p>
    <w:p w14:paraId="00EC75B0" w14:textId="77777777" w:rsidR="003709AA" w:rsidRPr="00D458EF" w:rsidRDefault="003709AA" w:rsidP="005B487C">
      <w:pPr>
        <w:pStyle w:val="a3"/>
        <w:spacing w:line="360" w:lineRule="auto"/>
        <w:ind w:leftChars="0" w:left="284" w:firstLine="240"/>
        <w:rPr>
          <w:rFonts w:ascii="Times New Roman" w:hAnsi="Times New Roman" w:cs="Times New Roman"/>
          <w:bCs/>
        </w:rPr>
      </w:pPr>
    </w:p>
    <w:p w14:paraId="42C4EC15" w14:textId="17D58E08" w:rsidR="00F66BD9" w:rsidRPr="00D458EF" w:rsidRDefault="00F66BD9" w:rsidP="005B487C">
      <w:pPr>
        <w:pStyle w:val="a3"/>
        <w:numPr>
          <w:ilvl w:val="0"/>
          <w:numId w:val="21"/>
        </w:numPr>
        <w:spacing w:line="360" w:lineRule="auto"/>
        <w:ind w:leftChars="0" w:left="357" w:hanging="357"/>
        <w:outlineLvl w:val="0"/>
        <w:rPr>
          <w:rFonts w:ascii="Times New Roman" w:hAnsi="Times New Roman" w:cs="Times New Roman"/>
          <w:b/>
        </w:rPr>
      </w:pPr>
      <w:r w:rsidRPr="00D458EF">
        <w:rPr>
          <w:rFonts w:ascii="Times New Roman" w:hAnsi="Times New Roman" w:cs="Times New Roman"/>
          <w:b/>
        </w:rPr>
        <w:t>Methodology</w:t>
      </w:r>
    </w:p>
    <w:p w14:paraId="4492E304" w14:textId="2C04BD17" w:rsidR="004F0C37" w:rsidRPr="00D458EF" w:rsidRDefault="003C4D22" w:rsidP="005B487C">
      <w:pPr>
        <w:pStyle w:val="a3"/>
        <w:numPr>
          <w:ilvl w:val="0"/>
          <w:numId w:val="22"/>
        </w:numPr>
        <w:spacing w:line="360" w:lineRule="auto"/>
        <w:ind w:leftChars="0" w:left="482" w:hanging="482"/>
        <w:outlineLvl w:val="1"/>
        <w:rPr>
          <w:rFonts w:ascii="Times New Roman" w:hAnsi="Times New Roman" w:cs="Times New Roman"/>
          <w:bCs/>
        </w:rPr>
      </w:pPr>
      <w:r w:rsidRPr="00D458EF">
        <w:rPr>
          <w:rFonts w:ascii="Times New Roman" w:hAnsi="Times New Roman" w:cs="Times New Roman"/>
          <w:bCs/>
        </w:rPr>
        <w:t>Model framework</w:t>
      </w:r>
    </w:p>
    <w:p w14:paraId="58EC96E2" w14:textId="77777777" w:rsidR="006451EA" w:rsidRPr="00D458EF" w:rsidRDefault="00C563E7" w:rsidP="005B487C">
      <w:pPr>
        <w:pStyle w:val="a3"/>
        <w:numPr>
          <w:ilvl w:val="0"/>
          <w:numId w:val="39"/>
        </w:numPr>
        <w:spacing w:line="360" w:lineRule="auto"/>
        <w:ind w:leftChars="0" w:left="482" w:hanging="482"/>
        <w:outlineLvl w:val="2"/>
        <w:rPr>
          <w:rFonts w:ascii="Times New Roman" w:hAnsi="Times New Roman" w:cs="Times New Roman"/>
          <w:bCs/>
        </w:rPr>
      </w:pPr>
      <w:r w:rsidRPr="00D458EF">
        <w:rPr>
          <w:rFonts w:ascii="Times New Roman" w:hAnsi="Times New Roman" w:cs="Times New Roman"/>
        </w:rPr>
        <w:t>Coupled Framework</w:t>
      </w:r>
    </w:p>
    <w:p w14:paraId="29C79E46" w14:textId="2A793649" w:rsidR="009E46C1" w:rsidRPr="00D458EF" w:rsidRDefault="00186ADA" w:rsidP="005B487C">
      <w:pPr>
        <w:pStyle w:val="a3"/>
        <w:numPr>
          <w:ilvl w:val="0"/>
          <w:numId w:val="40"/>
        </w:numPr>
        <w:spacing w:line="360" w:lineRule="auto"/>
        <w:ind w:leftChars="0"/>
        <w:rPr>
          <w:rFonts w:ascii="Times New Roman" w:hAnsi="Times New Roman" w:cs="Times New Roman"/>
          <w:bCs/>
        </w:rPr>
      </w:pPr>
      <w:r>
        <w:rPr>
          <w:rFonts w:ascii="Times New Roman" w:hAnsi="Times New Roman" w:cs="Times New Roman" w:hint="eastAsia"/>
          <w:bCs/>
        </w:rPr>
        <w:t xml:space="preserve">Overview </w:t>
      </w:r>
    </w:p>
    <w:p w14:paraId="327CD899" w14:textId="1B1653FD" w:rsidR="004C642F" w:rsidRPr="00D458EF" w:rsidRDefault="00BE4F08" w:rsidP="001760F5">
      <w:pPr>
        <w:pStyle w:val="a3"/>
        <w:spacing w:line="360" w:lineRule="auto"/>
        <w:ind w:leftChars="0" w:left="1440"/>
        <w:jc w:val="both"/>
        <w:rPr>
          <w:rFonts w:ascii="Times New Roman" w:hAnsi="Times New Roman" w:cs="Times New Roman"/>
          <w:bCs/>
        </w:rPr>
      </w:pPr>
      <w:r w:rsidRPr="00D458EF">
        <w:rPr>
          <w:rFonts w:ascii="Times New Roman" w:hAnsi="Times New Roman" w:cs="Times New Roman"/>
          <w:bCs/>
        </w:rPr>
        <w:tab/>
      </w:r>
      <w:r w:rsidR="00446766" w:rsidRPr="00D458EF">
        <w:rPr>
          <w:rFonts w:ascii="Times New Roman" w:hAnsi="Times New Roman" w:cs="Times New Roman"/>
          <w:bCs/>
        </w:rPr>
        <w:t xml:space="preserve">The </w:t>
      </w:r>
      <w:r w:rsidR="00720B3B" w:rsidRPr="00D458EF">
        <w:rPr>
          <w:rFonts w:ascii="Times New Roman" w:hAnsi="Times New Roman" w:cs="Times New Roman"/>
          <w:bCs/>
        </w:rPr>
        <w:t>coupled</w:t>
      </w:r>
      <w:r w:rsidR="00446766" w:rsidRPr="00D458EF">
        <w:rPr>
          <w:rFonts w:ascii="Times New Roman" w:hAnsi="Times New Roman" w:cs="Times New Roman"/>
          <w:bCs/>
        </w:rPr>
        <w:t xml:space="preserve"> framework integrates</w:t>
      </w:r>
      <w:r w:rsidR="00344A4A" w:rsidRPr="00D458EF">
        <w:rPr>
          <w:rFonts w:ascii="Times New Roman" w:hAnsi="Times New Roman" w:cs="Times New Roman"/>
          <w:bCs/>
        </w:rPr>
        <w:t xml:space="preserve"> the</w:t>
      </w:r>
      <w:r w:rsidR="00720B3B" w:rsidRPr="00D458EF">
        <w:rPr>
          <w:rFonts w:ascii="Times New Roman" w:hAnsi="Times New Roman" w:cs="Times New Roman"/>
          <w:bCs/>
        </w:rPr>
        <w:t xml:space="preserve"> </w:t>
      </w:r>
      <w:r w:rsidR="00446766" w:rsidRPr="00D458EF">
        <w:rPr>
          <w:rFonts w:ascii="Times New Roman" w:hAnsi="Times New Roman" w:cs="Times New Roman"/>
          <w:bCs/>
        </w:rPr>
        <w:t xml:space="preserve">ABM with a catastrophe model </w:t>
      </w:r>
      <w:r w:rsidR="00252080">
        <w:rPr>
          <w:rFonts w:ascii="Times New Roman" w:hAnsi="Times New Roman" w:cs="Times New Roman" w:hint="eastAsia"/>
          <w:bCs/>
        </w:rPr>
        <w:t xml:space="preserve">(CAT) </w:t>
      </w:r>
      <w:r w:rsidR="00446766" w:rsidRPr="00D458EF">
        <w:rPr>
          <w:rFonts w:ascii="Times New Roman" w:hAnsi="Times New Roman" w:cs="Times New Roman"/>
          <w:bCs/>
        </w:rPr>
        <w:t xml:space="preserve">to simulate </w:t>
      </w:r>
      <w:r w:rsidR="00B45DEF" w:rsidRPr="00D458EF">
        <w:rPr>
          <w:rFonts w:ascii="Times New Roman" w:hAnsi="Times New Roman" w:cs="Times New Roman"/>
          <w:bCs/>
        </w:rPr>
        <w:t>dynamic</w:t>
      </w:r>
      <w:r w:rsidR="00446766" w:rsidRPr="00D458EF">
        <w:rPr>
          <w:rFonts w:ascii="Times New Roman" w:hAnsi="Times New Roman" w:cs="Times New Roman"/>
          <w:bCs/>
        </w:rPr>
        <w:t xml:space="preserve"> household adaptation behavior, flood damage, and financial outcomes (</w:t>
      </w:r>
      <w:r w:rsidR="00446766" w:rsidRPr="00284467">
        <w:rPr>
          <w:rFonts w:ascii="Times New Roman" w:hAnsi="Times New Roman" w:cs="Times New Roman"/>
          <w:b/>
        </w:rPr>
        <w:t>Figure 2</w:t>
      </w:r>
      <w:r w:rsidR="00446766" w:rsidRPr="00D458EF">
        <w:rPr>
          <w:rFonts w:ascii="Times New Roman" w:hAnsi="Times New Roman" w:cs="Times New Roman"/>
          <w:bCs/>
        </w:rPr>
        <w:t xml:space="preserve">). The </w:t>
      </w:r>
      <w:r w:rsidR="00252080">
        <w:rPr>
          <w:rFonts w:ascii="Times New Roman" w:hAnsi="Times New Roman" w:cs="Times New Roman" w:hint="eastAsia"/>
          <w:bCs/>
        </w:rPr>
        <w:t>CAT</w:t>
      </w:r>
      <w:r w:rsidR="00446766" w:rsidRPr="00D458EF">
        <w:rPr>
          <w:rFonts w:ascii="Times New Roman" w:hAnsi="Times New Roman" w:cs="Times New Roman"/>
          <w:bCs/>
        </w:rPr>
        <w:t xml:space="preserve"> </w:t>
      </w:r>
      <w:r w:rsidR="00B007E0" w:rsidRPr="00D458EF">
        <w:rPr>
          <w:rFonts w:ascii="Times New Roman" w:hAnsi="Times New Roman" w:cs="Times New Roman"/>
          <w:bCs/>
        </w:rPr>
        <w:t>comprises</w:t>
      </w:r>
      <w:r w:rsidR="00E65C90" w:rsidRPr="00D458EF">
        <w:rPr>
          <w:rFonts w:ascii="Times New Roman" w:hAnsi="Times New Roman" w:cs="Times New Roman"/>
          <w:bCs/>
        </w:rPr>
        <w:t xml:space="preserve"> </w:t>
      </w:r>
      <w:r w:rsidR="00446766" w:rsidRPr="00D458EF">
        <w:rPr>
          <w:rFonts w:ascii="Times New Roman" w:hAnsi="Times New Roman" w:cs="Times New Roman"/>
          <w:bCs/>
        </w:rPr>
        <w:t xml:space="preserve">four </w:t>
      </w:r>
      <w:r w:rsidR="00720B3B" w:rsidRPr="00D458EF">
        <w:rPr>
          <w:rFonts w:ascii="Times New Roman" w:hAnsi="Times New Roman" w:cs="Times New Roman"/>
          <w:bCs/>
        </w:rPr>
        <w:t>major</w:t>
      </w:r>
      <w:r w:rsidR="00446766" w:rsidRPr="00D458EF">
        <w:rPr>
          <w:rFonts w:ascii="Times New Roman" w:hAnsi="Times New Roman" w:cs="Times New Roman"/>
          <w:bCs/>
        </w:rPr>
        <w:t xml:space="preserve"> modules</w:t>
      </w:r>
      <w:r w:rsidR="00720B3B" w:rsidRPr="00D458EF">
        <w:rPr>
          <w:rFonts w:ascii="Times New Roman" w:hAnsi="Times New Roman" w:cs="Times New Roman"/>
          <w:bCs/>
        </w:rPr>
        <w:t xml:space="preserve">, </w:t>
      </w:r>
      <w:r w:rsidR="00446766" w:rsidRPr="00D458EF">
        <w:rPr>
          <w:rFonts w:ascii="Times New Roman" w:hAnsi="Times New Roman" w:cs="Times New Roman"/>
          <w:bCs/>
        </w:rPr>
        <w:t>exposure, hazard, vulnerability, and finance</w:t>
      </w:r>
      <w:r w:rsidR="00720B3B" w:rsidRPr="00D458EF">
        <w:rPr>
          <w:rFonts w:ascii="Times New Roman" w:hAnsi="Times New Roman" w:cs="Times New Roman"/>
          <w:bCs/>
        </w:rPr>
        <w:t xml:space="preserve">, </w:t>
      </w:r>
      <w:r w:rsidR="00446766" w:rsidRPr="00D458EF">
        <w:rPr>
          <w:rFonts w:ascii="Times New Roman" w:hAnsi="Times New Roman" w:cs="Times New Roman"/>
          <w:bCs/>
        </w:rPr>
        <w:t xml:space="preserve">that </w:t>
      </w:r>
      <w:r w:rsidR="008D3A68" w:rsidRPr="00D458EF">
        <w:rPr>
          <w:rFonts w:ascii="Times New Roman" w:hAnsi="Times New Roman" w:cs="Times New Roman"/>
          <w:bCs/>
        </w:rPr>
        <w:t xml:space="preserve">estimate </w:t>
      </w:r>
      <w:r w:rsidR="00446766" w:rsidRPr="00D458EF">
        <w:rPr>
          <w:rFonts w:ascii="Times New Roman" w:hAnsi="Times New Roman" w:cs="Times New Roman"/>
          <w:bCs/>
        </w:rPr>
        <w:t xml:space="preserve">flood impacts and </w:t>
      </w:r>
      <w:r w:rsidR="008D3A68" w:rsidRPr="00D458EF">
        <w:rPr>
          <w:rFonts w:ascii="Times New Roman" w:hAnsi="Times New Roman" w:cs="Times New Roman"/>
          <w:bCs/>
        </w:rPr>
        <w:t xml:space="preserve">quantify </w:t>
      </w:r>
      <w:proofErr w:type="gramStart"/>
      <w:r w:rsidR="000F07B8" w:rsidRPr="00D458EF">
        <w:rPr>
          <w:rFonts w:ascii="Times New Roman" w:hAnsi="Times New Roman" w:cs="Times New Roman"/>
          <w:bCs/>
        </w:rPr>
        <w:t>households’</w:t>
      </w:r>
      <w:proofErr w:type="gramEnd"/>
      <w:r w:rsidR="00446766" w:rsidRPr="00D458EF">
        <w:rPr>
          <w:rFonts w:ascii="Times New Roman" w:hAnsi="Times New Roman" w:cs="Times New Roman"/>
          <w:bCs/>
        </w:rPr>
        <w:t xml:space="preserve"> associated </w:t>
      </w:r>
      <w:r w:rsidR="0067752C">
        <w:rPr>
          <w:rFonts w:ascii="Times New Roman" w:hAnsi="Times New Roman" w:cs="Times New Roman"/>
          <w:bCs/>
        </w:rPr>
        <w:t>financial</w:t>
      </w:r>
      <w:r w:rsidR="0067752C">
        <w:rPr>
          <w:rFonts w:ascii="Times New Roman" w:hAnsi="Times New Roman" w:cs="Times New Roman" w:hint="eastAsia"/>
          <w:bCs/>
        </w:rPr>
        <w:t xml:space="preserve"> consequences</w:t>
      </w:r>
      <w:r w:rsidR="00446766" w:rsidRPr="00D458EF">
        <w:rPr>
          <w:rFonts w:ascii="Times New Roman" w:hAnsi="Times New Roman" w:cs="Times New Roman"/>
          <w:bCs/>
        </w:rPr>
        <w:t xml:space="preserve">. The ABM captures the behavioral dimension of adaptation, representing household </w:t>
      </w:r>
      <w:r w:rsidR="004178B6" w:rsidRPr="00D458EF">
        <w:rPr>
          <w:rFonts w:ascii="Times New Roman" w:hAnsi="Times New Roman" w:cs="Times New Roman"/>
          <w:bCs/>
        </w:rPr>
        <w:t xml:space="preserve">adaptive behaviors, </w:t>
      </w:r>
      <w:r w:rsidR="00446766" w:rsidRPr="00D458EF">
        <w:rPr>
          <w:rFonts w:ascii="Times New Roman" w:hAnsi="Times New Roman" w:cs="Times New Roman"/>
          <w:bCs/>
        </w:rPr>
        <w:t xml:space="preserve">which are shaped by evolving flood perceptions and the experience of flood shocks. Together, these components form </w:t>
      </w:r>
      <w:r w:rsidR="00E65C90" w:rsidRPr="00D458EF">
        <w:rPr>
          <w:rFonts w:ascii="Times New Roman" w:hAnsi="Times New Roman" w:cs="Times New Roman"/>
          <w:bCs/>
        </w:rPr>
        <w:t>dynamic feedback</w:t>
      </w:r>
      <w:r w:rsidR="00446766" w:rsidRPr="00D458EF">
        <w:rPr>
          <w:rFonts w:ascii="Times New Roman" w:hAnsi="Times New Roman" w:cs="Times New Roman"/>
          <w:bCs/>
        </w:rPr>
        <w:t xml:space="preserve"> that couples human decision-making with physical flood processes, enabling the assessment of long-term household and community resilience.</w:t>
      </w:r>
    </w:p>
    <w:p w14:paraId="27D353E8" w14:textId="77777777" w:rsidR="00446766" w:rsidRPr="00D458EF" w:rsidRDefault="00446766" w:rsidP="005B487C">
      <w:pPr>
        <w:pStyle w:val="a3"/>
        <w:spacing w:line="360" w:lineRule="auto"/>
        <w:ind w:leftChars="0" w:left="1440"/>
        <w:rPr>
          <w:rFonts w:ascii="Times New Roman" w:hAnsi="Times New Roman" w:cs="Times New Roman"/>
          <w:bCs/>
        </w:rPr>
      </w:pPr>
    </w:p>
    <w:p w14:paraId="6854EDF5" w14:textId="3E664247" w:rsidR="003A0DE3" w:rsidRPr="00D458EF" w:rsidRDefault="00FC1093" w:rsidP="005B487C">
      <w:pPr>
        <w:pStyle w:val="a3"/>
        <w:numPr>
          <w:ilvl w:val="0"/>
          <w:numId w:val="40"/>
        </w:numPr>
        <w:spacing w:line="360" w:lineRule="auto"/>
        <w:ind w:leftChars="0"/>
        <w:rPr>
          <w:rFonts w:ascii="Times New Roman" w:hAnsi="Times New Roman" w:cs="Times New Roman"/>
          <w:bCs/>
        </w:rPr>
      </w:pPr>
      <w:r w:rsidRPr="00D458EF">
        <w:rPr>
          <w:rFonts w:ascii="Times New Roman" w:hAnsi="Times New Roman" w:cs="Times New Roman"/>
          <w:bCs/>
        </w:rPr>
        <w:t>Interaction and feedback mechanism</w:t>
      </w:r>
    </w:p>
    <w:p w14:paraId="6AE4DC64" w14:textId="77777777" w:rsidR="009000F2" w:rsidRPr="00D458EF" w:rsidRDefault="009000F2" w:rsidP="005B487C">
      <w:pPr>
        <w:pStyle w:val="a3"/>
        <w:spacing w:line="360" w:lineRule="auto"/>
        <w:ind w:leftChars="0" w:left="1440"/>
        <w:rPr>
          <w:rFonts w:ascii="Times New Roman" w:hAnsi="Times New Roman" w:cs="Times New Roman"/>
          <w:bCs/>
        </w:rPr>
      </w:pPr>
    </w:p>
    <w:p w14:paraId="611DA8A7" w14:textId="62A36905" w:rsidR="002D6B0C" w:rsidRPr="00D458EF" w:rsidRDefault="00BE4F08" w:rsidP="001760F5">
      <w:pPr>
        <w:pStyle w:val="a3"/>
        <w:spacing w:line="360" w:lineRule="auto"/>
        <w:ind w:leftChars="0" w:left="1440"/>
        <w:jc w:val="both"/>
        <w:rPr>
          <w:rFonts w:ascii="Times New Roman" w:hAnsi="Times New Roman" w:cs="Times New Roman"/>
          <w:bCs/>
        </w:rPr>
      </w:pPr>
      <w:r w:rsidRPr="00D458EF">
        <w:rPr>
          <w:rFonts w:ascii="Times New Roman" w:hAnsi="Times New Roman" w:cs="Times New Roman"/>
          <w:bCs/>
        </w:rPr>
        <w:lastRenderedPageBreak/>
        <w:tab/>
      </w:r>
      <w:r w:rsidR="00DB30A2" w:rsidRPr="00DB30A2">
        <w:rPr>
          <w:rFonts w:ascii="Times New Roman" w:hAnsi="Times New Roman" w:cs="Times New Roman"/>
          <w:bCs/>
        </w:rPr>
        <w:t xml:space="preserve">The ABM and </w:t>
      </w:r>
      <w:r w:rsidR="00252080">
        <w:rPr>
          <w:rFonts w:ascii="Times New Roman" w:hAnsi="Times New Roman" w:cs="Times New Roman" w:hint="eastAsia"/>
          <w:bCs/>
        </w:rPr>
        <w:t>CAT</w:t>
      </w:r>
      <w:r w:rsidR="00DB30A2" w:rsidRPr="00DB30A2">
        <w:rPr>
          <w:rFonts w:ascii="Times New Roman" w:hAnsi="Times New Roman" w:cs="Times New Roman"/>
          <w:bCs/>
        </w:rPr>
        <w:t xml:space="preserve"> are linked through an annual feedback loop that connects behavioral decisions with physical and financial outcomes. In each simulation year, the catastrophe model estimates tract-level flood </w:t>
      </w:r>
      <w:proofErr w:type="gramStart"/>
      <w:r w:rsidR="00DB30A2" w:rsidRPr="00DB30A2">
        <w:rPr>
          <w:rFonts w:ascii="Times New Roman" w:hAnsi="Times New Roman" w:cs="Times New Roman"/>
          <w:bCs/>
        </w:rPr>
        <w:t>damages</w:t>
      </w:r>
      <w:proofErr w:type="gramEnd"/>
      <w:r w:rsidR="00DB30A2" w:rsidRPr="00DB30A2">
        <w:rPr>
          <w:rFonts w:ascii="Times New Roman" w:hAnsi="Times New Roman" w:cs="Times New Roman"/>
          <w:bCs/>
        </w:rPr>
        <w:t xml:space="preserve">, which </w:t>
      </w:r>
      <w:proofErr w:type="gramStart"/>
      <w:r w:rsidR="00DB30A2" w:rsidRPr="00DB30A2">
        <w:rPr>
          <w:rFonts w:ascii="Times New Roman" w:hAnsi="Times New Roman" w:cs="Times New Roman"/>
          <w:bCs/>
        </w:rPr>
        <w:t>update</w:t>
      </w:r>
      <w:proofErr w:type="gramEnd"/>
      <w:r w:rsidR="00DB30A2" w:rsidRPr="00DB30A2">
        <w:rPr>
          <w:rFonts w:ascii="Times New Roman" w:hAnsi="Times New Roman" w:cs="Times New Roman"/>
          <w:bCs/>
        </w:rPr>
        <w:t xml:space="preserve"> the behavioral parameters of MG and NMG groups. </w:t>
      </w:r>
      <w:r w:rsidR="00710FCE" w:rsidRPr="00710FCE">
        <w:rPr>
          <w:rFonts w:ascii="Times New Roman" w:hAnsi="Times New Roman" w:cs="Times New Roman"/>
          <w:bCs/>
        </w:rPr>
        <w:t>The behavioral decision-making process in the ABM is theoretically grounded in Protection Motivation Theory (PMT) and the Protective Action Decision Model (PADM)</w:t>
      </w:r>
      <w:r w:rsidR="00710FCE">
        <w:rPr>
          <w:rFonts w:ascii="Times New Roman" w:hAnsi="Times New Roman" w:cs="Times New Roman" w:hint="eastAsia"/>
          <w:bCs/>
        </w:rPr>
        <w:t xml:space="preserve"> </w:t>
      </w:r>
      <w:r w:rsidR="00D60DBA">
        <w:rPr>
          <w:rFonts w:ascii="Times New Roman" w:hAnsi="Times New Roman" w:cs="Times New Roman"/>
          <w:bCs/>
        </w:rPr>
        <w:fldChar w:fldCharType="begin"/>
      </w:r>
      <w:r w:rsidR="003E65E5">
        <w:rPr>
          <w:rFonts w:ascii="Times New Roman" w:hAnsi="Times New Roman" w:cs="Times New Roman"/>
          <w:bCs/>
        </w:rPr>
        <w:instrText xml:space="preserve"> ADDIN ZOTERO_ITEM CSL_CITATION {"citationID":"7EyHEOdu","properties":{"formattedCitation":"(Lindell &amp; Perry, 2012; R. W. Rogers, 1975; RW. Rogers, 1983)","plainCitation":"(Lindell &amp; Perry, 2012; R. W. Rogers, 1975; RW. Rogers, 1983)","noteIndex":0},"citationItems":[{"id":1543,"uris":["http://zotero.org/users/14772686/items/LU4Z9IE5"],"itemData":{"id":1543,"type":"article-journal","abstract":"The Protective Action Decision Model (PADM) is a multistage model that is based on findings from research on people's responses to environmental hazards and disasters. The PADM integrates the processing of information derived from social and environmental cues with messages that social sources transmit through communication channels to those at risk. The PADM identifies three critical predecision processes (reception, attention, and comprehension of warnings or exposure, attention, and interpretation of environmental/social cues)—that precede all further processing. The revised model identifies three core perceptions</w:instrText>
      </w:r>
      <w:r w:rsidR="003E65E5">
        <w:rPr>
          <w:rFonts w:ascii="Times New Roman" w:hAnsi="Times New Roman" w:cs="Times New Roman" w:hint="eastAsia"/>
          <w:bCs/>
        </w:rPr>
        <w:instrText>—</w:instrText>
      </w:r>
      <w:r w:rsidR="003E65E5">
        <w:rPr>
          <w:rFonts w:ascii="Times New Roman" w:hAnsi="Times New Roman" w:cs="Times New Roman"/>
          <w:bCs/>
        </w:rPr>
        <w:instrText xml:space="preserve">threat perceptions, protective action perceptions, and stakeholder perceptions—that form the basis for decisions about how to respond to an imminent or long‐term threat. The outcome of the protective action decision‐making process, together with situational facilitators and impediments, produces a behavioral response. In addition to describing the revised model and the research on which it is based, this article describes three applications (development of risk communication programs, evacuation modeling, and adoption of long‐term hazard adjustments) and identifies some of the research needed to address unresolved issues.","container-title":"Risk Analysis","DOI":"10.1111/j.1539-6924.2011.01647.x","ISSN":"0272-4332, 1539-6924","issue":"4","journalAbbreviation":"Risk Analysis","language":"en","license":"http://onlinelibrary.wiley.com/termsAndConditions#vor","page":"616-632","source":"DOI.org (Crossref)","title":"The Protective Action Decision Model: Theoretical Modifications and Additional Evidence","title-short":"The Protective Action Decision Model","volume":"32","author":[{"family":"Lindell","given":"Michael K."},{"family":"Perry","given":"Ronald W."}],"issued":{"date-parts":[["2012",4]]}}},{"id":1523,"uris":["http://zotero.org/users/14772686/items/22JZE6NB"],"itemData":{"id":1523,"type":"article-journal","container-title":"The Journal of Psychology","DOI":"10.1080/00223980.1975.9915803","ISSN":"0022-3980, 1940-1019","issue":"1","journalAbbreviation":"The Journal of Psychology","language":"en","page":"93-114","source":"DOI.org (Crossref)","title":"A Protection Motivation Theory of Fear Appeals and Attitude Change1","volume":"91","author":[{"family":"Rogers","given":"Ronald W."}],"issued":{"date-parts":[["1975",9]]}}},{"id":3186,"uris":["http://zotero.org/users/14772686/items/65IXMWP2"],"itemData":{"id":3186,"type":"article-journal","container-title":"Social Psychology : A Source Book","page":"153-176","publisher":"Guilford Press","source":"CiNii Research","title":"Cognitive and physiological processes in fear appeals and attitude change : A revised theory of protection motivation","title-short":"Cognitive and physiological processes in fear appeals and attitude change","author":[{"family":"Rogers","given":"RW."}],"issued":{"date-parts":[["1983"]]}}}],"schema":"https://github.com/citation-style-language/schema/raw/master/csl-citation.json"} </w:instrText>
      </w:r>
      <w:r w:rsidR="00D60DBA">
        <w:rPr>
          <w:rFonts w:ascii="Times New Roman" w:hAnsi="Times New Roman" w:cs="Times New Roman"/>
          <w:bCs/>
        </w:rPr>
        <w:fldChar w:fldCharType="separate"/>
      </w:r>
      <w:r w:rsidR="003E65E5" w:rsidRPr="003E65E5">
        <w:rPr>
          <w:rFonts w:ascii="Times New Roman" w:hAnsi="Times New Roman" w:cs="Times New Roman"/>
        </w:rPr>
        <w:t>(Lindell &amp; Perry, 2012; R. W. Rogers, 1975; RW. Rogers, 1983)</w:t>
      </w:r>
      <w:r w:rsidR="00D60DBA">
        <w:rPr>
          <w:rFonts w:ascii="Times New Roman" w:hAnsi="Times New Roman" w:cs="Times New Roman"/>
          <w:bCs/>
        </w:rPr>
        <w:fldChar w:fldCharType="end"/>
      </w:r>
      <w:r w:rsidR="00710FCE" w:rsidRPr="00710FCE">
        <w:rPr>
          <w:rFonts w:ascii="Times New Roman" w:hAnsi="Times New Roman" w:cs="Times New Roman"/>
          <w:bCs/>
        </w:rPr>
        <w:t xml:space="preserve">, which </w:t>
      </w:r>
      <w:r w:rsidR="003E65E5" w:rsidRPr="00710FCE">
        <w:rPr>
          <w:rFonts w:ascii="Times New Roman" w:hAnsi="Times New Roman" w:cs="Times New Roman"/>
          <w:bCs/>
        </w:rPr>
        <w:t>conceptualizes</w:t>
      </w:r>
      <w:r w:rsidR="00710FCE" w:rsidRPr="00710FCE">
        <w:rPr>
          <w:rFonts w:ascii="Times New Roman" w:hAnsi="Times New Roman" w:cs="Times New Roman"/>
          <w:bCs/>
        </w:rPr>
        <w:t xml:space="preserve"> household adaptation as a function of perceived threat, coping capacity, and institutional context.</w:t>
      </w:r>
      <w:r w:rsidR="00710FCE">
        <w:rPr>
          <w:rFonts w:ascii="Times New Roman" w:hAnsi="Times New Roman" w:cs="Times New Roman" w:hint="eastAsia"/>
          <w:bCs/>
        </w:rPr>
        <w:t xml:space="preserve"> </w:t>
      </w:r>
      <w:r w:rsidR="00DB30A2" w:rsidRPr="00DB30A2">
        <w:rPr>
          <w:rFonts w:ascii="Times New Roman" w:hAnsi="Times New Roman" w:cs="Times New Roman"/>
          <w:bCs/>
        </w:rPr>
        <w:t>These parameters</w:t>
      </w:r>
      <w:r w:rsidR="00AD76D9">
        <w:rPr>
          <w:rFonts w:ascii="Times New Roman" w:hAnsi="Times New Roman" w:cs="Times New Roman" w:hint="eastAsia"/>
          <w:bCs/>
        </w:rPr>
        <w:t xml:space="preserve">, </w:t>
      </w:r>
      <w:r w:rsidR="00DB30A2" w:rsidRPr="00DB30A2">
        <w:rPr>
          <w:rFonts w:ascii="Times New Roman" w:hAnsi="Times New Roman" w:cs="Times New Roman"/>
          <w:bCs/>
        </w:rPr>
        <w:t>threat perception (TP), coping perception (CP), stakeholder perception (SP), social capital (SC), and place attachment (PA)</w:t>
      </w:r>
      <w:r w:rsidR="00AD76D9">
        <w:rPr>
          <w:rFonts w:ascii="Times New Roman" w:hAnsi="Times New Roman" w:cs="Times New Roman" w:hint="eastAsia"/>
          <w:bCs/>
        </w:rPr>
        <w:t xml:space="preserve">, </w:t>
      </w:r>
      <w:r w:rsidR="00DB30A2" w:rsidRPr="00DB30A2">
        <w:rPr>
          <w:rFonts w:ascii="Times New Roman" w:hAnsi="Times New Roman" w:cs="Times New Roman"/>
          <w:bCs/>
        </w:rPr>
        <w:t>jointly determine each tract’s adaptation tendency and evolve in response to flood shocks. Among them, TP is dynamically updated based on cumulative flood experience and directly influences the probability of adopting adaptation actions in subsequent years.</w:t>
      </w:r>
      <w:r w:rsidR="00446766" w:rsidRPr="00D458EF">
        <w:rPr>
          <w:rFonts w:ascii="Times New Roman" w:hAnsi="Times New Roman" w:cs="Times New Roman"/>
          <w:bCs/>
        </w:rPr>
        <w:t xml:space="preserve"> </w:t>
      </w:r>
      <w:r w:rsidR="009C77EB" w:rsidRPr="009C77EB">
        <w:rPr>
          <w:rFonts w:ascii="Times New Roman" w:hAnsi="Times New Roman" w:cs="Times New Roman"/>
          <w:bCs/>
        </w:rPr>
        <w:t xml:space="preserve">This loop operates bidirectionally: adaptation decisions modify exposure and vulnerability through actions such as elevation, relocation, and buyouts, while flood losses update behavioral parameters, allowing physical and behavioral processes to co-evolve over time. </w:t>
      </w:r>
      <w:r w:rsidR="00446766" w:rsidRPr="00D458EF">
        <w:rPr>
          <w:rFonts w:ascii="Times New Roman" w:hAnsi="Times New Roman" w:cs="Times New Roman"/>
          <w:bCs/>
        </w:rPr>
        <w:t xml:space="preserve">Through this iterative linkage between behavior and physical impact, the model </w:t>
      </w:r>
      <w:r w:rsidR="00431FE6" w:rsidRPr="00D458EF">
        <w:rPr>
          <w:rFonts w:ascii="Times New Roman" w:hAnsi="Times New Roman" w:cs="Times New Roman"/>
          <w:bCs/>
        </w:rPr>
        <w:t>simulates</w:t>
      </w:r>
      <w:r w:rsidR="00446766" w:rsidRPr="00D458EF">
        <w:rPr>
          <w:rFonts w:ascii="Times New Roman" w:hAnsi="Times New Roman" w:cs="Times New Roman"/>
          <w:bCs/>
        </w:rPr>
        <w:t xml:space="preserve"> how social heterogeneity drives divergent adaptation </w:t>
      </w:r>
      <w:r w:rsidR="00431FE6" w:rsidRPr="00D458EF">
        <w:rPr>
          <w:rFonts w:ascii="Times New Roman" w:hAnsi="Times New Roman" w:cs="Times New Roman"/>
          <w:bCs/>
        </w:rPr>
        <w:t>pathways</w:t>
      </w:r>
      <w:r w:rsidR="00446766" w:rsidRPr="00D458EF">
        <w:rPr>
          <w:rFonts w:ascii="Times New Roman" w:hAnsi="Times New Roman" w:cs="Times New Roman"/>
          <w:bCs/>
        </w:rPr>
        <w:t xml:space="preserve"> across </w:t>
      </w:r>
      <w:r w:rsidR="00431FE6" w:rsidRPr="00D458EF">
        <w:rPr>
          <w:rFonts w:ascii="Times New Roman" w:hAnsi="Times New Roman" w:cs="Times New Roman"/>
          <w:bCs/>
        </w:rPr>
        <w:t xml:space="preserve">different </w:t>
      </w:r>
      <w:r w:rsidR="00446766" w:rsidRPr="00D458EF">
        <w:rPr>
          <w:rFonts w:ascii="Times New Roman" w:hAnsi="Times New Roman" w:cs="Times New Roman"/>
          <w:bCs/>
        </w:rPr>
        <w:t>communities.</w:t>
      </w:r>
      <w:r w:rsidR="00FF21AB" w:rsidRPr="00D458EF">
        <w:rPr>
          <w:rFonts w:ascii="Times New Roman" w:hAnsi="Times New Roman" w:cs="Times New Roman"/>
          <w:bCs/>
        </w:rPr>
        <w:t xml:space="preserve"> </w:t>
      </w:r>
      <w:r w:rsidR="00E757EE" w:rsidRPr="00D458EF">
        <w:rPr>
          <w:rFonts w:ascii="Times New Roman" w:hAnsi="Times New Roman" w:cs="Times New Roman"/>
          <w:bCs/>
        </w:rPr>
        <w:t xml:space="preserve">This study follows the ODD+D protocol to provide a standardized description of the </w:t>
      </w:r>
      <w:r w:rsidR="00064952">
        <w:rPr>
          <w:rFonts w:ascii="Times New Roman" w:hAnsi="Times New Roman" w:cs="Times New Roman" w:hint="eastAsia"/>
          <w:bCs/>
        </w:rPr>
        <w:t>ABM</w:t>
      </w:r>
      <w:r w:rsidR="00853E75" w:rsidRPr="00D458EF">
        <w:rPr>
          <w:rFonts w:ascii="Times New Roman" w:hAnsi="Times New Roman" w:cs="Times New Roman"/>
          <w:bCs/>
        </w:rPr>
        <w:t xml:space="preserve"> </w:t>
      </w:r>
      <w:r w:rsidR="00BA437D" w:rsidRPr="00D458EF">
        <w:rPr>
          <w:rFonts w:ascii="Times New Roman" w:hAnsi="Times New Roman" w:cs="Times New Roman"/>
          <w:bCs/>
        </w:rPr>
        <w:fldChar w:fldCharType="begin"/>
      </w:r>
      <w:r w:rsidR="00BA437D" w:rsidRPr="00D458EF">
        <w:rPr>
          <w:rFonts w:ascii="Times New Roman" w:hAnsi="Times New Roman" w:cs="Times New Roman"/>
          <w:bCs/>
        </w:rPr>
        <w:instrText xml:space="preserve"> ADDIN ZOTERO_ITEM CSL_CITATION {"citationID":"gMkyatM3","properties":{"formattedCitation":"(Grimm et al., 2020)","plainCitation":"(Grimm et al., 2020)","noteIndex":0},"citationItems":[{"id":2054,"uris":["http://zotero.org/users/14772686/items/LPWUQXYH"],"itemData":{"id":2054,"type":"article-journal","abstract":"© 2020, University of Surrey. All rights reserved. The Overview, Design concepts and Details (ODD) protocol for describing Individual-and Agent-Based Models (ABMs) is now widely accepted and used to document such models in journal articles. As a standardized document for providing a consistent, logical and readable account of the structure and dynamics of ABMs, some research groups also find it useful as a workflow for model design. Even so, there are still limitations to ODD that obstruct its more widespread adoption. Such limitations are discussed and addressed in this paper: the limited availability of guidance on how to use ODD; the length of ODD documents; limitations of ODD for highly complex models; lack of sufficient details of many ODDs to enable reimplementation without access to the model code; and the lack of provision for sections in the document structure covering model design ratio-nale, the model’s underlying narrative, and the means by which the model’s fitness for purpose is evaluated. We document the steps we have taken to provide better guidance on: structuring complex ODDs and an ODD summary for inclusion in a journal article (with full details in supplementary material; Table 1); using ODD to point readers to relevant sections of the model code; update the document structure to include sections on model rationale and evaluation. We also further advocate the need for standard descriptions of simulation experiments and argue that ODD can in principle be used for any type of simulation model. Thereby ODD would provide a lingua franca for simulation modelling.","container-title":"Journal of Artificial Societies and Social Simulation","ISSN":"1460-7425","issue":"2","language":"en","source":"eprints.bournemouth.ac.uk","title":"The ODD protocol for describing agent-based and other simulation models: A second update to improve clarity, replication, and structural realism","title-short":"The ODD protocol for describing agent-based and other simulation models","URL":"https://eprints.bournemouth.ac.uk/33918/","volume":"23","author":[{"family":"Grimm","given":"V."},{"family":"Railsback","given":"S. F."},{"family":"Vincenot","given":"C. E."},{"family":"Berger","given":"U."},{"family":"Gallagher","given":"C."},{"family":"Deangelis","given":"D. L."},{"family":"Edmonds","given":"B."},{"family":"Ge","given":"J."},{"family":"Giske","given":"J."},{"family":"Groeneveld","given":"J."},{"family":"Johnston","given":"A. S. A."},{"family":"Milles","given":"A."},{"family":"Nabe-Nielsen","given":"J."},{"family":"Polhill","given":"J. G."},{"family":"Radchuk","given":"V."},{"family":"Rohwäder","given":"M. S."},{"family":"Stillman","given":"R. A."},{"family":"Thiele","given":"J. C."},{"family":"Ayllón","given":"D."}],"accessed":{"date-parts":[["2026",1,11]]},"issued":{"date-parts":[["2020",1,1]]}}}],"schema":"https://github.com/citation-style-language/schema/raw/master/csl-citation.json"} </w:instrText>
      </w:r>
      <w:r w:rsidR="00BA437D" w:rsidRPr="00D458EF">
        <w:rPr>
          <w:rFonts w:ascii="Times New Roman" w:hAnsi="Times New Roman" w:cs="Times New Roman"/>
          <w:bCs/>
        </w:rPr>
        <w:fldChar w:fldCharType="separate"/>
      </w:r>
      <w:r w:rsidR="00BA437D" w:rsidRPr="00D458EF">
        <w:rPr>
          <w:rFonts w:ascii="Times New Roman" w:hAnsi="Times New Roman" w:cs="Times New Roman"/>
        </w:rPr>
        <w:t>(Grimm et al., 2020)</w:t>
      </w:r>
      <w:r w:rsidR="00BA437D" w:rsidRPr="00D458EF">
        <w:rPr>
          <w:rFonts w:ascii="Times New Roman" w:hAnsi="Times New Roman" w:cs="Times New Roman"/>
          <w:bCs/>
        </w:rPr>
        <w:fldChar w:fldCharType="end"/>
      </w:r>
      <w:r w:rsidR="00151BCA" w:rsidRPr="00D458EF">
        <w:rPr>
          <w:rFonts w:ascii="Times New Roman" w:hAnsi="Times New Roman" w:cs="Times New Roman"/>
          <w:bCs/>
        </w:rPr>
        <w:t>, and a full ODD+D specification</w:t>
      </w:r>
      <w:r w:rsidR="000E3A69">
        <w:rPr>
          <w:rFonts w:ascii="Times New Roman" w:hAnsi="Times New Roman" w:cs="Times New Roman" w:hint="eastAsia"/>
          <w:bCs/>
        </w:rPr>
        <w:t xml:space="preserve"> is</w:t>
      </w:r>
      <w:r w:rsidR="00151BCA" w:rsidRPr="00D458EF">
        <w:rPr>
          <w:rFonts w:ascii="Times New Roman" w:hAnsi="Times New Roman" w:cs="Times New Roman"/>
          <w:bCs/>
        </w:rPr>
        <w:t xml:space="preserve"> provided in the supplementary material</w:t>
      </w:r>
      <w:r w:rsidR="000E3A69">
        <w:rPr>
          <w:rFonts w:ascii="Times New Roman" w:hAnsi="Times New Roman" w:cs="Times New Roman" w:hint="eastAsia"/>
          <w:bCs/>
        </w:rPr>
        <w:t xml:space="preserve"> (</w:t>
      </w:r>
      <w:r w:rsidR="000E3A69" w:rsidRPr="00694281">
        <w:rPr>
          <w:rFonts w:ascii="Times New Roman" w:hAnsi="Times New Roman" w:cs="Times New Roman" w:hint="eastAsia"/>
          <w:b/>
        </w:rPr>
        <w:t>Table S</w:t>
      </w:r>
      <w:r w:rsidR="007341F9">
        <w:rPr>
          <w:rFonts w:ascii="Times New Roman" w:hAnsi="Times New Roman" w:cs="Times New Roman" w:hint="eastAsia"/>
          <w:b/>
        </w:rPr>
        <w:t>6</w:t>
      </w:r>
      <w:r w:rsidR="000E3A69">
        <w:rPr>
          <w:rFonts w:ascii="Times New Roman" w:hAnsi="Times New Roman" w:cs="Times New Roman" w:hint="eastAsia"/>
          <w:bCs/>
        </w:rPr>
        <w:t>)</w:t>
      </w:r>
      <w:r w:rsidR="00151BCA" w:rsidRPr="00D458EF">
        <w:rPr>
          <w:rFonts w:ascii="Times New Roman" w:hAnsi="Times New Roman" w:cs="Times New Roman"/>
          <w:bCs/>
        </w:rPr>
        <w:t>.</w:t>
      </w:r>
    </w:p>
    <w:p w14:paraId="6E521711" w14:textId="329CB712" w:rsidR="00446766" w:rsidRDefault="00B136AB" w:rsidP="005B487C">
      <w:pPr>
        <w:pStyle w:val="a3"/>
        <w:spacing w:line="360" w:lineRule="auto"/>
        <w:ind w:leftChars="0" w:left="0"/>
        <w:rPr>
          <w:rFonts w:ascii="Times New Roman" w:hAnsi="Times New Roman" w:cs="Times New Roman"/>
          <w:bCs/>
        </w:rPr>
      </w:pPr>
      <w:r w:rsidRPr="00D458EF">
        <w:rPr>
          <w:rFonts w:ascii="Times New Roman" w:hAnsi="Times New Roman" w:cs="Times New Roman"/>
          <w:noProof/>
        </w:rPr>
        <w:lastRenderedPageBreak/>
        <w:drawing>
          <wp:inline distT="0" distB="0" distL="0" distR="0" wp14:anchorId="60A49A68" wp14:editId="4644A07D">
            <wp:extent cx="5943600" cy="4457065"/>
            <wp:effectExtent l="0" t="0" r="0" b="635"/>
            <wp:docPr id="1907530391" name="圖片 1" descr="一張含有 文字, 圖表,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30391" name="圖片 1" descr="一張含有 文字, 圖表, 螢幕擷取畫面 的圖片&#10;&#10;AI 產生的內容可能不正確。"/>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57065"/>
                    </a:xfrm>
                    <a:prstGeom prst="rect">
                      <a:avLst/>
                    </a:prstGeom>
                    <a:noFill/>
                    <a:ln>
                      <a:noFill/>
                    </a:ln>
                  </pic:spPr>
                </pic:pic>
              </a:graphicData>
            </a:graphic>
          </wp:inline>
        </w:drawing>
      </w:r>
    </w:p>
    <w:p w14:paraId="533F391D" w14:textId="5DD4F249" w:rsidR="007D4CD9" w:rsidRDefault="007D4CD9" w:rsidP="005B487C">
      <w:pPr>
        <w:pStyle w:val="a3"/>
        <w:spacing w:line="360" w:lineRule="auto"/>
        <w:ind w:leftChars="0" w:left="0"/>
        <w:rPr>
          <w:rFonts w:ascii="Times New Roman" w:hAnsi="Times New Roman" w:cs="Times New Roman"/>
          <w:bCs/>
        </w:rPr>
      </w:pPr>
      <w:r w:rsidRPr="007D4CD9">
        <w:rPr>
          <w:rFonts w:ascii="Times New Roman" w:hAnsi="Times New Roman" w:cs="Times New Roman"/>
          <w:b/>
        </w:rPr>
        <w:t>Figure 2.</w:t>
      </w:r>
      <w:r w:rsidRPr="007D4CD9">
        <w:rPr>
          <w:rFonts w:ascii="Times New Roman" w:hAnsi="Times New Roman" w:cs="Times New Roman"/>
          <w:bCs/>
        </w:rPr>
        <w:t xml:space="preserve"> Coupled agent-based and catastrophe modeling framework.</w:t>
      </w:r>
    </w:p>
    <w:p w14:paraId="30DDA6B5" w14:textId="77777777" w:rsidR="007D4CD9" w:rsidRPr="00D458EF" w:rsidRDefault="007D4CD9" w:rsidP="005B487C">
      <w:pPr>
        <w:pStyle w:val="a3"/>
        <w:spacing w:line="360" w:lineRule="auto"/>
        <w:ind w:leftChars="0" w:left="0"/>
        <w:rPr>
          <w:rFonts w:ascii="Times New Roman" w:hAnsi="Times New Roman" w:cs="Times New Roman"/>
          <w:bCs/>
        </w:rPr>
      </w:pPr>
    </w:p>
    <w:p w14:paraId="60435083" w14:textId="34E5DBA1" w:rsidR="009131CF" w:rsidRPr="002F410A" w:rsidRDefault="00026935" w:rsidP="005B487C">
      <w:pPr>
        <w:pStyle w:val="a3"/>
        <w:numPr>
          <w:ilvl w:val="0"/>
          <w:numId w:val="39"/>
        </w:numPr>
        <w:spacing w:line="360" w:lineRule="auto"/>
        <w:ind w:leftChars="0" w:left="482" w:hanging="482"/>
        <w:outlineLvl w:val="2"/>
        <w:rPr>
          <w:rFonts w:ascii="Times New Roman" w:hAnsi="Times New Roman" w:cs="Times New Roman"/>
          <w:bCs/>
        </w:rPr>
      </w:pPr>
      <w:r>
        <w:rPr>
          <w:rFonts w:ascii="Times New Roman" w:hAnsi="Times New Roman" w:cs="Times New Roman" w:hint="eastAsia"/>
          <w:bCs/>
        </w:rPr>
        <w:t xml:space="preserve">Model </w:t>
      </w:r>
      <w:r w:rsidR="006C6B0A" w:rsidRPr="00D458EF">
        <w:rPr>
          <w:rFonts w:ascii="Times New Roman" w:hAnsi="Times New Roman" w:cs="Times New Roman"/>
          <w:bCs/>
        </w:rPr>
        <w:t>Initialization</w:t>
      </w:r>
    </w:p>
    <w:p w14:paraId="27DBD22C" w14:textId="4D4B27A5" w:rsidR="00D537B6" w:rsidRDefault="00653001" w:rsidP="001760F5">
      <w:pPr>
        <w:pStyle w:val="a3"/>
        <w:spacing w:line="360" w:lineRule="auto"/>
        <w:ind w:leftChars="0" w:left="1440"/>
        <w:jc w:val="both"/>
        <w:rPr>
          <w:rFonts w:ascii="Times New Roman" w:hAnsi="Times New Roman" w:cs="Times New Roman"/>
          <w:bCs/>
        </w:rPr>
      </w:pPr>
      <w:r>
        <w:rPr>
          <w:rFonts w:ascii="Times New Roman" w:hAnsi="Times New Roman" w:cs="Times New Roman"/>
          <w:bCs/>
        </w:rPr>
        <w:tab/>
      </w:r>
      <w:r w:rsidRPr="00653001">
        <w:rPr>
          <w:rFonts w:ascii="Times New Roman" w:hAnsi="Times New Roman" w:cs="Times New Roman"/>
          <w:bCs/>
        </w:rPr>
        <w:t xml:space="preserve">Initialization establishes the baseline behavioral, physical, and financial conditions for both ABM and </w:t>
      </w:r>
      <w:r w:rsidR="00252080">
        <w:rPr>
          <w:rFonts w:ascii="Times New Roman" w:hAnsi="Times New Roman" w:cs="Times New Roman"/>
          <w:bCs/>
        </w:rPr>
        <w:t xml:space="preserve">the </w:t>
      </w:r>
      <w:r w:rsidR="00252080">
        <w:rPr>
          <w:rFonts w:ascii="Times New Roman" w:hAnsi="Times New Roman" w:cs="Times New Roman" w:hint="eastAsia"/>
          <w:bCs/>
        </w:rPr>
        <w:t>C</w:t>
      </w:r>
      <w:r w:rsidRPr="00653001">
        <w:rPr>
          <w:rFonts w:ascii="Times New Roman" w:hAnsi="Times New Roman" w:cs="Times New Roman"/>
          <w:bCs/>
        </w:rPr>
        <w:t>AT model at the start of the simulation (base year = 2011). To avoid redundancy, all initialization procedures are summarized here</w:t>
      </w:r>
      <w:r w:rsidR="00BE1B07">
        <w:rPr>
          <w:rFonts w:ascii="Times New Roman" w:hAnsi="Times New Roman" w:cs="Times New Roman" w:hint="eastAsia"/>
          <w:bCs/>
        </w:rPr>
        <w:t xml:space="preserve">. </w:t>
      </w:r>
      <w:r w:rsidRPr="00653001">
        <w:rPr>
          <w:rFonts w:ascii="Times New Roman" w:hAnsi="Times New Roman" w:cs="Times New Roman"/>
          <w:bCs/>
        </w:rPr>
        <w:t>For the ABM, each tract is assigned two behavioral profiles representing MG and NMG</w:t>
      </w:r>
      <w:r w:rsidR="00463F39">
        <w:rPr>
          <w:rFonts w:ascii="Times New Roman" w:hAnsi="Times New Roman" w:cs="Times New Roman" w:hint="eastAsia"/>
          <w:bCs/>
        </w:rPr>
        <w:t>.</w:t>
      </w:r>
      <w:r w:rsidRPr="00653001">
        <w:rPr>
          <w:rFonts w:ascii="Times New Roman" w:hAnsi="Times New Roman" w:cs="Times New Roman"/>
          <w:bCs/>
        </w:rPr>
        <w:t xml:space="preserve"> Five </w:t>
      </w:r>
      <w:r w:rsidR="00463F39">
        <w:rPr>
          <w:rFonts w:ascii="Times New Roman" w:hAnsi="Times New Roman" w:cs="Times New Roman"/>
          <w:bCs/>
        </w:rPr>
        <w:t>behavioral</w:t>
      </w:r>
      <w:r w:rsidR="00463F39">
        <w:rPr>
          <w:rFonts w:ascii="Times New Roman" w:hAnsi="Times New Roman" w:cs="Times New Roman" w:hint="eastAsia"/>
          <w:bCs/>
        </w:rPr>
        <w:t xml:space="preserve"> parameters</w:t>
      </w:r>
      <w:r>
        <w:rPr>
          <w:rFonts w:ascii="Times New Roman" w:hAnsi="Times New Roman" w:cs="Times New Roman" w:hint="eastAsia"/>
          <w:bCs/>
        </w:rPr>
        <w:t xml:space="preserve"> </w:t>
      </w:r>
      <w:r w:rsidRPr="00653001">
        <w:rPr>
          <w:rFonts w:ascii="Times New Roman" w:hAnsi="Times New Roman" w:cs="Times New Roman"/>
          <w:bCs/>
        </w:rPr>
        <w:t>are sampled from calibrated Beta distributions derived from the flood adaptation survey</w:t>
      </w:r>
      <w:r w:rsidR="00BE1B07">
        <w:rPr>
          <w:rFonts w:ascii="Times New Roman" w:hAnsi="Times New Roman" w:cs="Times New Roman" w:hint="eastAsia"/>
          <w:bCs/>
        </w:rPr>
        <w:t xml:space="preserve"> (</w:t>
      </w:r>
      <w:r w:rsidR="00BE1B07" w:rsidRPr="00BE1B07">
        <w:rPr>
          <w:rFonts w:ascii="Times New Roman" w:hAnsi="Times New Roman" w:cs="Times New Roman" w:hint="eastAsia"/>
          <w:b/>
        </w:rPr>
        <w:t>Text S1</w:t>
      </w:r>
      <w:r w:rsidR="00BE1B07">
        <w:rPr>
          <w:rFonts w:ascii="Times New Roman" w:hAnsi="Times New Roman" w:cs="Times New Roman" w:hint="eastAsia"/>
          <w:bCs/>
        </w:rPr>
        <w:t>)</w:t>
      </w:r>
      <w:r w:rsidRPr="00653001">
        <w:rPr>
          <w:rFonts w:ascii="Times New Roman" w:hAnsi="Times New Roman" w:cs="Times New Roman"/>
          <w:bCs/>
        </w:rPr>
        <w:t>. These parameters define the initial behavioral environment and serve as inputs to the Bayesian adoption probability model, which estimates MG‑ and NMG‑specific adaptation tendencies. Initial TP values also provide the starting point for the memory‑decay process, whose calibrated parameters govern how perceived threat evolves in the absence or presence of flood shocks. Detailed behavioral parameter definitions, probability model specifications, and memory‑decay calibration are</w:t>
      </w:r>
      <w:r w:rsidR="008E75D1">
        <w:rPr>
          <w:rFonts w:ascii="Times New Roman" w:hAnsi="Times New Roman" w:cs="Times New Roman" w:hint="eastAsia"/>
          <w:bCs/>
        </w:rPr>
        <w:t xml:space="preserve"> explained in </w:t>
      </w:r>
      <w:r w:rsidR="003E4BA9">
        <w:rPr>
          <w:rFonts w:ascii="Times New Roman" w:hAnsi="Times New Roman" w:cs="Times New Roman" w:hint="eastAsia"/>
          <w:bCs/>
        </w:rPr>
        <w:t>Section 3.2</w:t>
      </w:r>
      <w:r w:rsidRPr="00653001">
        <w:rPr>
          <w:rFonts w:ascii="Times New Roman" w:hAnsi="Times New Roman" w:cs="Times New Roman"/>
          <w:bCs/>
        </w:rPr>
        <w:t>.</w:t>
      </w:r>
    </w:p>
    <w:p w14:paraId="24B8EAC9" w14:textId="77777777" w:rsidR="00921A57" w:rsidRPr="00D458EF" w:rsidRDefault="00921A57" w:rsidP="005B487C">
      <w:pPr>
        <w:pStyle w:val="a3"/>
        <w:spacing w:line="360" w:lineRule="auto"/>
        <w:ind w:leftChars="0" w:left="1440"/>
        <w:rPr>
          <w:rFonts w:ascii="Times New Roman" w:hAnsi="Times New Roman" w:cs="Times New Roman"/>
          <w:bCs/>
        </w:rPr>
      </w:pPr>
    </w:p>
    <w:p w14:paraId="17C1CC3C" w14:textId="41FF1320" w:rsidR="00297BD0" w:rsidRPr="00D458EF" w:rsidRDefault="00FC1093" w:rsidP="005B487C">
      <w:pPr>
        <w:pStyle w:val="a3"/>
        <w:numPr>
          <w:ilvl w:val="0"/>
          <w:numId w:val="41"/>
        </w:numPr>
        <w:spacing w:line="360" w:lineRule="auto"/>
        <w:ind w:leftChars="0"/>
        <w:rPr>
          <w:rFonts w:ascii="Times New Roman" w:hAnsi="Times New Roman" w:cs="Times New Roman"/>
          <w:bCs/>
        </w:rPr>
      </w:pPr>
      <w:r w:rsidRPr="00D458EF">
        <w:rPr>
          <w:rFonts w:ascii="Times New Roman" w:hAnsi="Times New Roman" w:cs="Times New Roman"/>
          <w:bCs/>
        </w:rPr>
        <w:t xml:space="preserve">Initialization </w:t>
      </w:r>
      <w:r w:rsidR="008D2E50" w:rsidRPr="00D458EF">
        <w:rPr>
          <w:rFonts w:ascii="Times New Roman" w:hAnsi="Times New Roman" w:cs="Times New Roman"/>
          <w:bCs/>
        </w:rPr>
        <w:t xml:space="preserve">of </w:t>
      </w:r>
      <w:r w:rsidR="00825ED5">
        <w:rPr>
          <w:rFonts w:ascii="Times New Roman" w:hAnsi="Times New Roman" w:cs="Times New Roman"/>
          <w:bCs/>
        </w:rPr>
        <w:t xml:space="preserve">the </w:t>
      </w:r>
      <w:r w:rsidR="008D2E50" w:rsidRPr="00D458EF">
        <w:rPr>
          <w:rFonts w:ascii="Times New Roman" w:hAnsi="Times New Roman" w:cs="Times New Roman"/>
          <w:bCs/>
        </w:rPr>
        <w:t>catastrophe model</w:t>
      </w:r>
    </w:p>
    <w:p w14:paraId="470D301D" w14:textId="6AD33449" w:rsidR="001531ED" w:rsidRPr="00D458EF" w:rsidRDefault="00222C26" w:rsidP="006F596A">
      <w:pPr>
        <w:pStyle w:val="a3"/>
        <w:spacing w:line="360" w:lineRule="auto"/>
        <w:ind w:leftChars="0" w:left="1440"/>
        <w:jc w:val="both"/>
        <w:rPr>
          <w:rFonts w:ascii="Times New Roman" w:hAnsi="Times New Roman" w:cs="Times New Roman"/>
          <w:bCs/>
        </w:rPr>
      </w:pPr>
      <w:r>
        <w:rPr>
          <w:rFonts w:ascii="Times New Roman" w:hAnsi="Times New Roman" w:cs="Times New Roman"/>
          <w:bCs/>
        </w:rPr>
        <w:tab/>
      </w:r>
      <w:r w:rsidR="001531ED" w:rsidRPr="001531ED">
        <w:rPr>
          <w:rFonts w:ascii="Times New Roman" w:hAnsi="Times New Roman" w:cs="Times New Roman"/>
          <w:bCs/>
        </w:rPr>
        <w:t>For the CAT model, baseline physical and financial conditions are initialized through exposure, hazard, vulnerability, and insurance components. Household‑level structural and contents replacement cost values (RCV) are generated from national inventories and scaled to tract‑level totals. Tract‑level flood depths are derived from pre‑run hydrological simulations, and depth–damage curves define the initial damage response for structures and contents. Baseline insurance status</w:t>
      </w:r>
      <w:r w:rsidR="001531ED">
        <w:rPr>
          <w:rFonts w:ascii="Times New Roman" w:hAnsi="Times New Roman" w:cs="Times New Roman" w:hint="eastAsia"/>
          <w:bCs/>
        </w:rPr>
        <w:t xml:space="preserve">, </w:t>
      </w:r>
      <w:r w:rsidR="001531ED" w:rsidRPr="001531ED">
        <w:rPr>
          <w:rFonts w:ascii="Times New Roman" w:hAnsi="Times New Roman" w:cs="Times New Roman"/>
          <w:bCs/>
        </w:rPr>
        <w:t>differentiated by tenure and tract‑level NFIP participation</w:t>
      </w:r>
      <w:r w:rsidR="001531ED">
        <w:rPr>
          <w:rFonts w:ascii="Times New Roman" w:hAnsi="Times New Roman" w:cs="Times New Roman" w:hint="eastAsia"/>
          <w:bCs/>
        </w:rPr>
        <w:t xml:space="preserve">, </w:t>
      </w:r>
      <w:r w:rsidR="001531ED" w:rsidRPr="001531ED">
        <w:rPr>
          <w:rFonts w:ascii="Times New Roman" w:hAnsi="Times New Roman" w:cs="Times New Roman"/>
          <w:bCs/>
        </w:rPr>
        <w:t xml:space="preserve">is assigned at initialization and summarized in </w:t>
      </w:r>
      <w:r w:rsidR="001531ED" w:rsidRPr="00825ED5">
        <w:rPr>
          <w:rFonts w:ascii="Times New Roman" w:hAnsi="Times New Roman" w:cs="Times New Roman"/>
          <w:b/>
        </w:rPr>
        <w:t xml:space="preserve">Table </w:t>
      </w:r>
      <w:r w:rsidR="005E6715" w:rsidRPr="00825ED5">
        <w:rPr>
          <w:rFonts w:ascii="Times New Roman" w:hAnsi="Times New Roman" w:cs="Times New Roman" w:hint="eastAsia"/>
          <w:b/>
        </w:rPr>
        <w:t>S</w:t>
      </w:r>
      <w:r w:rsidR="00D63158">
        <w:rPr>
          <w:rFonts w:ascii="Times New Roman" w:hAnsi="Times New Roman" w:cs="Times New Roman" w:hint="eastAsia"/>
          <w:b/>
        </w:rPr>
        <w:t>1</w:t>
      </w:r>
      <w:r w:rsidR="005E6715">
        <w:rPr>
          <w:rFonts w:ascii="Times New Roman" w:hAnsi="Times New Roman" w:cs="Times New Roman" w:hint="eastAsia"/>
          <w:bCs/>
        </w:rPr>
        <w:t>.</w:t>
      </w:r>
      <w:r w:rsidR="00AF1C02">
        <w:rPr>
          <w:rFonts w:ascii="Times New Roman" w:hAnsi="Times New Roman" w:cs="Times New Roman" w:hint="eastAsia"/>
          <w:bCs/>
        </w:rPr>
        <w:t xml:space="preserve"> </w:t>
      </w:r>
      <w:r w:rsidR="00AF1C02" w:rsidRPr="00AF1C02">
        <w:rPr>
          <w:rFonts w:ascii="Times New Roman" w:hAnsi="Times New Roman" w:cs="Times New Roman"/>
          <w:bCs/>
        </w:rPr>
        <w:t xml:space="preserve">A complete list of model parameters, definitions, and calibrated values used across the ABM and CAT components is provided in </w:t>
      </w:r>
      <w:r w:rsidR="00AF1C02" w:rsidRPr="00AF1C02">
        <w:rPr>
          <w:rFonts w:ascii="Times New Roman" w:hAnsi="Times New Roman" w:cs="Times New Roman"/>
          <w:b/>
        </w:rPr>
        <w:t>Table S</w:t>
      </w:r>
      <w:r w:rsidR="00D63158">
        <w:rPr>
          <w:rFonts w:ascii="Times New Roman" w:hAnsi="Times New Roman" w:cs="Times New Roman" w:hint="eastAsia"/>
          <w:b/>
        </w:rPr>
        <w:t>2</w:t>
      </w:r>
      <w:r w:rsidR="00AF1C02" w:rsidRPr="00AF1C02">
        <w:rPr>
          <w:rFonts w:ascii="Times New Roman" w:hAnsi="Times New Roman" w:cs="Times New Roman"/>
          <w:bCs/>
        </w:rPr>
        <w:t>.</w:t>
      </w:r>
    </w:p>
    <w:p w14:paraId="245FEC44" w14:textId="29685D98" w:rsidR="003C4D22" w:rsidRPr="00D458EF" w:rsidRDefault="003C4D22" w:rsidP="005B487C">
      <w:pPr>
        <w:pStyle w:val="a3"/>
        <w:numPr>
          <w:ilvl w:val="0"/>
          <w:numId w:val="22"/>
        </w:numPr>
        <w:spacing w:line="360" w:lineRule="auto"/>
        <w:ind w:leftChars="0" w:left="482" w:hanging="482"/>
        <w:outlineLvl w:val="1"/>
        <w:rPr>
          <w:rFonts w:ascii="Times New Roman" w:hAnsi="Times New Roman" w:cs="Times New Roman"/>
          <w:bCs/>
        </w:rPr>
      </w:pPr>
      <w:r w:rsidRPr="00D458EF">
        <w:rPr>
          <w:rFonts w:ascii="Times New Roman" w:hAnsi="Times New Roman" w:cs="Times New Roman"/>
          <w:bCs/>
        </w:rPr>
        <w:t>Agent-based model</w:t>
      </w:r>
    </w:p>
    <w:p w14:paraId="07680093" w14:textId="70916B48" w:rsidR="00FD3A4F" w:rsidRPr="00D458EF" w:rsidRDefault="00720DB7" w:rsidP="005B487C">
      <w:pPr>
        <w:pStyle w:val="a3"/>
        <w:numPr>
          <w:ilvl w:val="0"/>
          <w:numId w:val="23"/>
        </w:numPr>
        <w:spacing w:line="360" w:lineRule="auto"/>
        <w:ind w:leftChars="0" w:left="964" w:hanging="482"/>
        <w:outlineLvl w:val="2"/>
        <w:rPr>
          <w:rFonts w:ascii="Times New Roman" w:hAnsi="Times New Roman" w:cs="Times New Roman"/>
          <w:bCs/>
        </w:rPr>
      </w:pPr>
      <w:r w:rsidRPr="00D458EF">
        <w:rPr>
          <w:rFonts w:ascii="Times New Roman" w:hAnsi="Times New Roman" w:cs="Times New Roman"/>
          <w:bCs/>
        </w:rPr>
        <w:t>Household adaptation actions</w:t>
      </w:r>
    </w:p>
    <w:p w14:paraId="2B75154A" w14:textId="4BC9972A" w:rsidR="003A12B6" w:rsidRPr="00D458EF" w:rsidRDefault="003A12B6" w:rsidP="005B487C">
      <w:pPr>
        <w:pStyle w:val="a3"/>
        <w:numPr>
          <w:ilvl w:val="0"/>
          <w:numId w:val="27"/>
        </w:numPr>
        <w:spacing w:line="360" w:lineRule="auto"/>
        <w:ind w:leftChars="0"/>
        <w:rPr>
          <w:rFonts w:ascii="Times New Roman" w:hAnsi="Times New Roman" w:cs="Times New Roman"/>
          <w:bCs/>
        </w:rPr>
      </w:pPr>
      <w:r w:rsidRPr="00D458EF">
        <w:rPr>
          <w:rFonts w:ascii="Times New Roman" w:hAnsi="Times New Roman" w:cs="Times New Roman"/>
          <w:bCs/>
        </w:rPr>
        <w:t>Types of agents and adaptation options</w:t>
      </w:r>
    </w:p>
    <w:p w14:paraId="7C5736D0" w14:textId="73D475BD" w:rsidR="003C61D4" w:rsidRPr="00D458EF" w:rsidRDefault="00222C26" w:rsidP="006F596A">
      <w:pPr>
        <w:pStyle w:val="a3"/>
        <w:spacing w:line="360" w:lineRule="auto"/>
        <w:ind w:leftChars="0" w:left="1440"/>
        <w:jc w:val="both"/>
        <w:rPr>
          <w:rFonts w:ascii="Times New Roman" w:hAnsi="Times New Roman" w:cs="Times New Roman"/>
          <w:bCs/>
        </w:rPr>
      </w:pPr>
      <w:r>
        <w:rPr>
          <w:rFonts w:ascii="Times New Roman" w:hAnsi="Times New Roman" w:cs="Times New Roman"/>
          <w:bCs/>
        </w:rPr>
        <w:tab/>
      </w:r>
      <w:r w:rsidR="004178B6" w:rsidRPr="00D458EF">
        <w:rPr>
          <w:rFonts w:ascii="Times New Roman" w:hAnsi="Times New Roman" w:cs="Times New Roman"/>
          <w:bCs/>
        </w:rPr>
        <w:t xml:space="preserve">The agents in our ABM </w:t>
      </w:r>
      <w:r w:rsidR="00F0335C" w:rsidRPr="00D458EF">
        <w:rPr>
          <w:rFonts w:ascii="Times New Roman" w:hAnsi="Times New Roman" w:cs="Times New Roman"/>
          <w:bCs/>
        </w:rPr>
        <w:t>represent</w:t>
      </w:r>
      <w:r w:rsidR="004178B6" w:rsidRPr="00D458EF">
        <w:rPr>
          <w:rFonts w:ascii="Times New Roman" w:hAnsi="Times New Roman" w:cs="Times New Roman"/>
          <w:bCs/>
        </w:rPr>
        <w:t xml:space="preserve"> renters and homeowners with </w:t>
      </w:r>
      <w:r w:rsidR="00F0335C" w:rsidRPr="00D458EF">
        <w:rPr>
          <w:rFonts w:ascii="Times New Roman" w:hAnsi="Times New Roman" w:cs="Times New Roman"/>
          <w:bCs/>
        </w:rPr>
        <w:t>assigned</w:t>
      </w:r>
      <w:r w:rsidR="004178B6" w:rsidRPr="00D458EF">
        <w:rPr>
          <w:rFonts w:ascii="Times New Roman" w:hAnsi="Times New Roman" w:cs="Times New Roman"/>
          <w:bCs/>
        </w:rPr>
        <w:t xml:space="preserve"> </w:t>
      </w:r>
      <w:r w:rsidR="008B339D" w:rsidRPr="00D458EF">
        <w:rPr>
          <w:rFonts w:ascii="Times New Roman" w:hAnsi="Times New Roman" w:cs="Times New Roman"/>
          <w:bCs/>
        </w:rPr>
        <w:t>structural</w:t>
      </w:r>
      <w:r w:rsidR="004178B6" w:rsidRPr="00D458EF">
        <w:rPr>
          <w:rFonts w:ascii="Times New Roman" w:hAnsi="Times New Roman" w:cs="Times New Roman"/>
          <w:bCs/>
        </w:rPr>
        <w:t xml:space="preserve"> and contents </w:t>
      </w:r>
      <w:r w:rsidR="008B339D" w:rsidRPr="00D458EF">
        <w:rPr>
          <w:rFonts w:ascii="Times New Roman" w:hAnsi="Times New Roman" w:cs="Times New Roman"/>
          <w:bCs/>
        </w:rPr>
        <w:t>RCV</w:t>
      </w:r>
      <w:r w:rsidR="004178B6" w:rsidRPr="00D458EF">
        <w:rPr>
          <w:rFonts w:ascii="Times New Roman" w:hAnsi="Times New Roman" w:cs="Times New Roman"/>
          <w:bCs/>
        </w:rPr>
        <w:t xml:space="preserve">. </w:t>
      </w:r>
      <w:r w:rsidR="00121F52" w:rsidRPr="00D458EF">
        <w:rPr>
          <w:rFonts w:ascii="Times New Roman" w:hAnsi="Times New Roman" w:cs="Times New Roman"/>
          <w:bCs/>
        </w:rPr>
        <w:t xml:space="preserve">Adaptation options differ according to property ownership. Renters can purchase contents-only flood insurance, relocate to another area, or take no action. Homeowners, in contrast, can adopt structural and financial measures, including purchasing flood </w:t>
      </w:r>
      <w:r w:rsidR="00611699">
        <w:rPr>
          <w:rFonts w:ascii="Times New Roman" w:hAnsi="Times New Roman" w:cs="Times New Roman"/>
          <w:bCs/>
        </w:rPr>
        <w:t>insurance</w:t>
      </w:r>
      <w:r w:rsidR="00611699">
        <w:rPr>
          <w:rFonts w:ascii="Times New Roman" w:hAnsi="Times New Roman" w:cs="Times New Roman" w:hint="eastAsia"/>
          <w:bCs/>
        </w:rPr>
        <w:t xml:space="preserve"> for houses and contents</w:t>
      </w:r>
      <w:r w:rsidR="00121F52" w:rsidRPr="00D458EF">
        <w:rPr>
          <w:rFonts w:ascii="Times New Roman" w:hAnsi="Times New Roman" w:cs="Times New Roman"/>
          <w:bCs/>
        </w:rPr>
        <w:t>, elevating their houses, participating in buyout programs, or taking no action. Each agent is permitted to adopt one adaptation strategy per simulation year.</w:t>
      </w:r>
    </w:p>
    <w:p w14:paraId="0E202066" w14:textId="77777777" w:rsidR="00121F52" w:rsidRPr="00D458EF" w:rsidRDefault="00121F52" w:rsidP="005B487C">
      <w:pPr>
        <w:pStyle w:val="a3"/>
        <w:spacing w:line="360" w:lineRule="auto"/>
        <w:ind w:leftChars="0" w:left="1440"/>
        <w:rPr>
          <w:rFonts w:ascii="Times New Roman" w:hAnsi="Times New Roman" w:cs="Times New Roman"/>
          <w:bCs/>
        </w:rPr>
      </w:pPr>
    </w:p>
    <w:p w14:paraId="4905FC94" w14:textId="6BCE368F" w:rsidR="003A12B6" w:rsidRPr="00D458EF" w:rsidRDefault="003A12B6" w:rsidP="005B487C">
      <w:pPr>
        <w:pStyle w:val="a3"/>
        <w:numPr>
          <w:ilvl w:val="0"/>
          <w:numId w:val="27"/>
        </w:numPr>
        <w:spacing w:line="360" w:lineRule="auto"/>
        <w:ind w:leftChars="0"/>
        <w:rPr>
          <w:rFonts w:ascii="Times New Roman" w:hAnsi="Times New Roman" w:cs="Times New Roman"/>
          <w:bCs/>
        </w:rPr>
      </w:pPr>
      <w:r w:rsidRPr="00D458EF">
        <w:rPr>
          <w:rFonts w:ascii="Times New Roman" w:hAnsi="Times New Roman" w:cs="Times New Roman"/>
          <w:bCs/>
        </w:rPr>
        <w:t>Logic of actions</w:t>
      </w:r>
    </w:p>
    <w:p w14:paraId="66AB2547" w14:textId="62BD7A43" w:rsidR="00F0335C" w:rsidRPr="00D458EF" w:rsidRDefault="00222C26" w:rsidP="006F596A">
      <w:pPr>
        <w:pStyle w:val="a3"/>
        <w:spacing w:line="360" w:lineRule="auto"/>
        <w:ind w:leftChars="0" w:left="1440"/>
        <w:jc w:val="both"/>
        <w:rPr>
          <w:rFonts w:ascii="Times New Roman" w:hAnsi="Times New Roman" w:cs="Times New Roman"/>
          <w:bCs/>
        </w:rPr>
      </w:pPr>
      <w:r>
        <w:rPr>
          <w:rFonts w:ascii="Times New Roman" w:hAnsi="Times New Roman" w:cs="Times New Roman"/>
          <w:bCs/>
        </w:rPr>
        <w:tab/>
      </w:r>
      <w:r w:rsidR="007A06A0" w:rsidRPr="00D458EF">
        <w:rPr>
          <w:rFonts w:ascii="Times New Roman" w:hAnsi="Times New Roman" w:cs="Times New Roman"/>
          <w:bCs/>
        </w:rPr>
        <w:t xml:space="preserve">The relative order and availability of adaptation options for renters and homeowners are illustrated in </w:t>
      </w:r>
      <w:r w:rsidR="007A06A0" w:rsidRPr="00C77F0B">
        <w:rPr>
          <w:rFonts w:ascii="Times New Roman" w:hAnsi="Times New Roman" w:cs="Times New Roman"/>
          <w:b/>
        </w:rPr>
        <w:t>Figure 2</w:t>
      </w:r>
      <w:r w:rsidR="007A06A0" w:rsidRPr="00D458EF">
        <w:rPr>
          <w:rFonts w:ascii="Times New Roman" w:hAnsi="Times New Roman" w:cs="Times New Roman"/>
          <w:bCs/>
        </w:rPr>
        <w:t xml:space="preserve">. </w:t>
      </w:r>
      <w:r w:rsidR="009271D7" w:rsidRPr="009271D7">
        <w:rPr>
          <w:rFonts w:ascii="Times New Roman" w:hAnsi="Times New Roman" w:cs="Times New Roman"/>
          <w:bCs/>
        </w:rPr>
        <w:t>This structure reflects empirical evidence that major flood-related decisions rarely occur simultaneously, as households typically face financial, informational, and logistical constraints that limit them to one substantive adaptation action per year.</w:t>
      </w:r>
      <w:r w:rsidR="009271D7">
        <w:rPr>
          <w:rFonts w:ascii="Times New Roman" w:hAnsi="Times New Roman" w:cs="Times New Roman" w:hint="eastAsia"/>
          <w:bCs/>
        </w:rPr>
        <w:t xml:space="preserve"> </w:t>
      </w:r>
      <w:r w:rsidR="007A06A0" w:rsidRPr="00D458EF">
        <w:rPr>
          <w:rFonts w:ascii="Times New Roman" w:hAnsi="Times New Roman" w:cs="Times New Roman"/>
          <w:bCs/>
        </w:rPr>
        <w:t xml:space="preserve">Adaptation hierarchies are defined based on each option’s cost, impact, and accessibility. Homeowners generally prioritize flood insurance as the most immediate measure, followed by elevation and buyout participation, while renters tend to choose between insurance, relocation, or inaction. </w:t>
      </w:r>
      <w:r w:rsidR="00B1362A">
        <w:rPr>
          <w:rFonts w:ascii="Times New Roman" w:hAnsi="Times New Roman" w:cs="Times New Roman" w:hint="eastAsia"/>
          <w:bCs/>
        </w:rPr>
        <w:t>E</w:t>
      </w:r>
      <w:r w:rsidR="00B1362A" w:rsidRPr="00B1362A">
        <w:rPr>
          <w:rFonts w:ascii="Times New Roman" w:hAnsi="Times New Roman" w:cs="Times New Roman"/>
          <w:bCs/>
        </w:rPr>
        <w:t>levation is implemented as a one-time 5-ft increase in the first-finished-floor elevatio</w:t>
      </w:r>
      <w:r w:rsidR="00805EEA">
        <w:rPr>
          <w:rFonts w:ascii="Times New Roman" w:hAnsi="Times New Roman" w:cs="Times New Roman" w:hint="eastAsia"/>
          <w:bCs/>
        </w:rPr>
        <w:t>n</w:t>
      </w:r>
      <w:r w:rsidR="00340ACC">
        <w:rPr>
          <w:rFonts w:ascii="Times New Roman" w:hAnsi="Times New Roman" w:cs="Times New Roman" w:hint="eastAsia"/>
          <w:bCs/>
        </w:rPr>
        <w:t>,</w:t>
      </w:r>
      <w:r w:rsidR="00B1362A" w:rsidRPr="00B1362A">
        <w:rPr>
          <w:rFonts w:ascii="Times New Roman" w:hAnsi="Times New Roman" w:cs="Times New Roman"/>
          <w:bCs/>
        </w:rPr>
        <w:t xml:space="preserve"> consistent with the adaptation action settings.</w:t>
      </w:r>
      <w:r w:rsidR="00B1362A">
        <w:rPr>
          <w:rFonts w:ascii="Times New Roman" w:hAnsi="Times New Roman" w:cs="Times New Roman" w:hint="eastAsia"/>
          <w:bCs/>
        </w:rPr>
        <w:t xml:space="preserve"> </w:t>
      </w:r>
      <w:r w:rsidR="007A06A0" w:rsidRPr="00D458EF">
        <w:rPr>
          <w:rFonts w:ascii="Times New Roman" w:hAnsi="Times New Roman" w:cs="Times New Roman"/>
          <w:bCs/>
        </w:rPr>
        <w:t>This prioritization mirrors observed behavioral patterns in flood adaptation studies and provides a decision pathway for simulating heterogeneous household responses.</w:t>
      </w:r>
    </w:p>
    <w:p w14:paraId="0BF64A69" w14:textId="77777777" w:rsidR="007A06A0" w:rsidRPr="00D458EF" w:rsidRDefault="007A06A0" w:rsidP="005B487C">
      <w:pPr>
        <w:pStyle w:val="a3"/>
        <w:spacing w:line="360" w:lineRule="auto"/>
        <w:ind w:leftChars="0" w:left="1440"/>
        <w:rPr>
          <w:rFonts w:ascii="Times New Roman" w:hAnsi="Times New Roman" w:cs="Times New Roman"/>
          <w:bCs/>
        </w:rPr>
      </w:pPr>
    </w:p>
    <w:p w14:paraId="22738898" w14:textId="3C58E758" w:rsidR="0074106A" w:rsidRPr="00D458EF" w:rsidRDefault="001F11CD" w:rsidP="005B487C">
      <w:pPr>
        <w:pStyle w:val="a3"/>
        <w:numPr>
          <w:ilvl w:val="0"/>
          <w:numId w:val="23"/>
        </w:numPr>
        <w:spacing w:line="360" w:lineRule="auto"/>
        <w:ind w:leftChars="0" w:left="964" w:hanging="482"/>
        <w:outlineLvl w:val="2"/>
        <w:rPr>
          <w:rFonts w:ascii="Times New Roman" w:hAnsi="Times New Roman" w:cs="Times New Roman"/>
          <w:bCs/>
        </w:rPr>
      </w:pPr>
      <w:r w:rsidRPr="00D458EF">
        <w:rPr>
          <w:rFonts w:ascii="Times New Roman" w:hAnsi="Times New Roman" w:cs="Times New Roman"/>
          <w:bCs/>
        </w:rPr>
        <w:t>Tract-level a</w:t>
      </w:r>
      <w:r w:rsidR="0074106A" w:rsidRPr="00D458EF">
        <w:rPr>
          <w:rFonts w:ascii="Times New Roman" w:hAnsi="Times New Roman" w:cs="Times New Roman"/>
          <w:bCs/>
        </w:rPr>
        <w:t xml:space="preserve">doption probability </w:t>
      </w:r>
      <w:r w:rsidRPr="00D458EF">
        <w:rPr>
          <w:rFonts w:ascii="Times New Roman" w:hAnsi="Times New Roman" w:cs="Times New Roman"/>
          <w:bCs/>
        </w:rPr>
        <w:t>formation</w:t>
      </w:r>
    </w:p>
    <w:p w14:paraId="1BFEB4D9" w14:textId="506EB842" w:rsidR="00FD3A4F" w:rsidRPr="00D458EF" w:rsidRDefault="00D31286" w:rsidP="005B487C">
      <w:pPr>
        <w:pStyle w:val="a3"/>
        <w:numPr>
          <w:ilvl w:val="0"/>
          <w:numId w:val="26"/>
        </w:numPr>
        <w:spacing w:line="360" w:lineRule="auto"/>
        <w:ind w:leftChars="0"/>
        <w:rPr>
          <w:rFonts w:ascii="Times New Roman" w:hAnsi="Times New Roman" w:cs="Times New Roman"/>
          <w:bCs/>
        </w:rPr>
      </w:pPr>
      <w:r w:rsidRPr="00D458EF">
        <w:rPr>
          <w:rFonts w:ascii="Times New Roman" w:hAnsi="Times New Roman" w:cs="Times New Roman"/>
          <w:bCs/>
        </w:rPr>
        <w:t>Behavioral parameters (TP, CP, SP) and socioeconomic heterogeneity</w:t>
      </w:r>
    </w:p>
    <w:p w14:paraId="534F782A" w14:textId="36944612" w:rsidR="002017FD" w:rsidRPr="00D458EF" w:rsidRDefault="00961D8A" w:rsidP="006F596A">
      <w:pPr>
        <w:pStyle w:val="a3"/>
        <w:spacing w:line="360" w:lineRule="auto"/>
        <w:ind w:leftChars="0" w:left="1440"/>
        <w:jc w:val="both"/>
        <w:rPr>
          <w:rFonts w:ascii="Times New Roman" w:hAnsi="Times New Roman" w:cs="Times New Roman"/>
          <w:bCs/>
        </w:rPr>
      </w:pPr>
      <w:r>
        <w:rPr>
          <w:rFonts w:ascii="Times New Roman" w:hAnsi="Times New Roman" w:cs="Times New Roman"/>
          <w:bCs/>
        </w:rPr>
        <w:tab/>
      </w:r>
      <w:r w:rsidR="00C37B86" w:rsidRPr="00C37B86">
        <w:rPr>
          <w:rFonts w:ascii="Times New Roman" w:hAnsi="Times New Roman" w:cs="Times New Roman"/>
          <w:bCs/>
        </w:rPr>
        <w:t xml:space="preserve">Following PMT and PADM, household adaptation is modeled as a perception-driven process in which </w:t>
      </w:r>
      <w:r w:rsidR="00CF40CA">
        <w:rPr>
          <w:rFonts w:ascii="Times New Roman" w:hAnsi="Times New Roman" w:cs="Times New Roman" w:hint="eastAsia"/>
          <w:bCs/>
        </w:rPr>
        <w:t>TP</w:t>
      </w:r>
      <w:r w:rsidR="00C37B86" w:rsidRPr="00C37B86">
        <w:rPr>
          <w:rFonts w:ascii="Times New Roman" w:hAnsi="Times New Roman" w:cs="Times New Roman"/>
          <w:bCs/>
        </w:rPr>
        <w:t>,</w:t>
      </w:r>
      <w:r w:rsidR="00CF40CA">
        <w:rPr>
          <w:rFonts w:ascii="Times New Roman" w:hAnsi="Times New Roman" w:cs="Times New Roman" w:hint="eastAsia"/>
          <w:bCs/>
        </w:rPr>
        <w:t xml:space="preserve"> CP</w:t>
      </w:r>
      <w:r w:rsidR="00CF40CA">
        <w:rPr>
          <w:rFonts w:ascii="Times New Roman" w:hAnsi="Times New Roman" w:cs="Times New Roman"/>
          <w:bCs/>
        </w:rPr>
        <w:t>,</w:t>
      </w:r>
      <w:r w:rsidR="00C37B86" w:rsidRPr="00C37B86">
        <w:rPr>
          <w:rFonts w:ascii="Times New Roman" w:hAnsi="Times New Roman" w:cs="Times New Roman"/>
          <w:bCs/>
        </w:rPr>
        <w:t xml:space="preserve"> and </w:t>
      </w:r>
      <w:r w:rsidR="00CF40CA">
        <w:rPr>
          <w:rFonts w:ascii="Times New Roman" w:hAnsi="Times New Roman" w:cs="Times New Roman" w:hint="eastAsia"/>
          <w:bCs/>
        </w:rPr>
        <w:t xml:space="preserve">SP </w:t>
      </w:r>
      <w:r w:rsidR="00C37B86" w:rsidRPr="00C37B86">
        <w:rPr>
          <w:rFonts w:ascii="Times New Roman" w:hAnsi="Times New Roman" w:cs="Times New Roman"/>
          <w:bCs/>
        </w:rPr>
        <w:t>jointly shape protective action decisions.</w:t>
      </w:r>
      <w:r w:rsidR="00C37B86">
        <w:rPr>
          <w:rFonts w:ascii="Times New Roman" w:hAnsi="Times New Roman" w:cs="Times New Roman" w:hint="eastAsia"/>
          <w:bCs/>
        </w:rPr>
        <w:t xml:space="preserve"> </w:t>
      </w:r>
      <w:r w:rsidR="00D31286" w:rsidRPr="00D458EF">
        <w:rPr>
          <w:rFonts w:ascii="Times New Roman" w:hAnsi="Times New Roman" w:cs="Times New Roman"/>
          <w:bCs/>
        </w:rPr>
        <w:t xml:space="preserve">At the tract level, adaptation behavior is driven by </w:t>
      </w:r>
      <w:r w:rsidR="00F84833" w:rsidRPr="00D458EF">
        <w:rPr>
          <w:rFonts w:ascii="Times New Roman" w:hAnsi="Times New Roman" w:cs="Times New Roman"/>
          <w:bCs/>
        </w:rPr>
        <w:t xml:space="preserve">TP, CP, and SP </w:t>
      </w:r>
      <w:r w:rsidR="00D31286" w:rsidRPr="00D458EF">
        <w:rPr>
          <w:rFonts w:ascii="Times New Roman" w:hAnsi="Times New Roman" w:cs="Times New Roman"/>
          <w:bCs/>
        </w:rPr>
        <w:t xml:space="preserve">for both </w:t>
      </w:r>
      <w:r w:rsidR="00833CC4" w:rsidRPr="00D458EF">
        <w:rPr>
          <w:rFonts w:ascii="Times New Roman" w:hAnsi="Times New Roman" w:cs="Times New Roman"/>
          <w:bCs/>
        </w:rPr>
        <w:t>MG and NMG</w:t>
      </w:r>
      <w:r w:rsidR="00D31286" w:rsidRPr="00D458EF">
        <w:rPr>
          <w:rFonts w:ascii="Times New Roman" w:hAnsi="Times New Roman" w:cs="Times New Roman"/>
          <w:bCs/>
        </w:rPr>
        <w:t>. TP reflects the perceived likelihood and</w:t>
      </w:r>
      <w:r w:rsidR="00833CC4" w:rsidRPr="00D458EF">
        <w:rPr>
          <w:rFonts w:ascii="Times New Roman" w:hAnsi="Times New Roman" w:cs="Times New Roman"/>
          <w:bCs/>
        </w:rPr>
        <w:t xml:space="preserve"> the threat </w:t>
      </w:r>
      <w:r w:rsidR="00C27B84" w:rsidRPr="00D458EF">
        <w:rPr>
          <w:rFonts w:ascii="Times New Roman" w:hAnsi="Times New Roman" w:cs="Times New Roman"/>
          <w:bCs/>
        </w:rPr>
        <w:t>of</w:t>
      </w:r>
      <w:r w:rsidR="00833CC4" w:rsidRPr="00D458EF">
        <w:rPr>
          <w:rFonts w:ascii="Times New Roman" w:hAnsi="Times New Roman" w:cs="Times New Roman"/>
          <w:bCs/>
        </w:rPr>
        <w:t xml:space="preserve"> </w:t>
      </w:r>
      <w:r w:rsidR="00EE754E" w:rsidRPr="00D458EF">
        <w:rPr>
          <w:rFonts w:ascii="Times New Roman" w:hAnsi="Times New Roman" w:cs="Times New Roman"/>
          <w:bCs/>
        </w:rPr>
        <w:t>floods</w:t>
      </w:r>
      <w:r w:rsidR="00833CC4" w:rsidRPr="00D458EF">
        <w:rPr>
          <w:rFonts w:ascii="Times New Roman" w:hAnsi="Times New Roman" w:cs="Times New Roman"/>
          <w:bCs/>
        </w:rPr>
        <w:t xml:space="preserve"> based on their experiences</w:t>
      </w:r>
      <w:r w:rsidR="00D31286" w:rsidRPr="00D458EF">
        <w:rPr>
          <w:rFonts w:ascii="Times New Roman" w:hAnsi="Times New Roman" w:cs="Times New Roman"/>
          <w:bCs/>
        </w:rPr>
        <w:t>. CP represents</w:t>
      </w:r>
      <w:r w:rsidR="00C27B84" w:rsidRPr="00D458EF">
        <w:rPr>
          <w:rFonts w:ascii="Times New Roman" w:hAnsi="Times New Roman" w:cs="Times New Roman"/>
          <w:bCs/>
        </w:rPr>
        <w:t xml:space="preserve"> the</w:t>
      </w:r>
      <w:r w:rsidR="00D31286" w:rsidRPr="00D458EF">
        <w:rPr>
          <w:rFonts w:ascii="Times New Roman" w:hAnsi="Times New Roman" w:cs="Times New Roman"/>
          <w:bCs/>
        </w:rPr>
        <w:t xml:space="preserve"> perceived ability </w:t>
      </w:r>
      <w:r w:rsidR="00833CC4" w:rsidRPr="00D458EF">
        <w:rPr>
          <w:rFonts w:ascii="Times New Roman" w:hAnsi="Times New Roman" w:cs="Times New Roman"/>
          <w:bCs/>
        </w:rPr>
        <w:t>to lower the risk and perceived effectiveness of flood adaptation strategies</w:t>
      </w:r>
      <w:r w:rsidR="00D31286" w:rsidRPr="00D458EF">
        <w:rPr>
          <w:rFonts w:ascii="Times New Roman" w:hAnsi="Times New Roman" w:cs="Times New Roman"/>
          <w:bCs/>
        </w:rPr>
        <w:t>, while SP captures their trust</w:t>
      </w:r>
      <w:r w:rsidR="00C27B84" w:rsidRPr="00D458EF">
        <w:rPr>
          <w:rFonts w:ascii="Times New Roman" w:hAnsi="Times New Roman" w:cs="Times New Roman"/>
          <w:bCs/>
        </w:rPr>
        <w:t xml:space="preserve">, trustworthiness, and confidence toward different stakeholders, such as the government and insurance </w:t>
      </w:r>
      <w:r w:rsidR="0059183E" w:rsidRPr="00D458EF">
        <w:rPr>
          <w:rFonts w:ascii="Times New Roman" w:hAnsi="Times New Roman" w:cs="Times New Roman"/>
          <w:bCs/>
        </w:rPr>
        <w:t>companies</w:t>
      </w:r>
      <w:r w:rsidR="00D31286" w:rsidRPr="00D458EF">
        <w:rPr>
          <w:rFonts w:ascii="Times New Roman" w:hAnsi="Times New Roman" w:cs="Times New Roman"/>
          <w:bCs/>
        </w:rPr>
        <w:t xml:space="preserve">. These perceptions jointly </w:t>
      </w:r>
      <w:r w:rsidR="00C27B84" w:rsidRPr="00D458EF">
        <w:rPr>
          <w:rFonts w:ascii="Times New Roman" w:hAnsi="Times New Roman" w:cs="Times New Roman"/>
          <w:bCs/>
        </w:rPr>
        <w:t>form</w:t>
      </w:r>
      <w:r w:rsidR="00D31286" w:rsidRPr="00D458EF">
        <w:rPr>
          <w:rFonts w:ascii="Times New Roman" w:hAnsi="Times New Roman" w:cs="Times New Roman"/>
          <w:bCs/>
        </w:rPr>
        <w:t xml:space="preserve"> how </w:t>
      </w:r>
      <w:r w:rsidR="00C27B84" w:rsidRPr="00D458EF">
        <w:rPr>
          <w:rFonts w:ascii="Times New Roman" w:hAnsi="Times New Roman" w:cs="Times New Roman"/>
          <w:bCs/>
        </w:rPr>
        <w:t>different communities</w:t>
      </w:r>
      <w:r w:rsidR="00D31286" w:rsidRPr="00D458EF">
        <w:rPr>
          <w:rFonts w:ascii="Times New Roman" w:hAnsi="Times New Roman" w:cs="Times New Roman"/>
          <w:bCs/>
        </w:rPr>
        <w:t xml:space="preserve"> evaluate risk and decide whether to adopt </w:t>
      </w:r>
      <w:r w:rsidR="00C27B84" w:rsidRPr="00D458EF">
        <w:rPr>
          <w:rFonts w:ascii="Times New Roman" w:hAnsi="Times New Roman" w:cs="Times New Roman"/>
          <w:bCs/>
        </w:rPr>
        <w:t>adaptation actions</w:t>
      </w:r>
      <w:r w:rsidR="00533C30">
        <w:rPr>
          <w:rFonts w:ascii="Times New Roman" w:hAnsi="Times New Roman" w:cs="Times New Roman" w:hint="eastAsia"/>
          <w:bCs/>
        </w:rPr>
        <w:t>.</w:t>
      </w:r>
      <w:r w:rsidR="00D31286" w:rsidRPr="00D458EF">
        <w:rPr>
          <w:rFonts w:ascii="Times New Roman" w:hAnsi="Times New Roman" w:cs="Times New Roman"/>
          <w:bCs/>
        </w:rPr>
        <w:t xml:space="preserve"> Each tract contains two distinct parameter sets for MG and NMG, reflecting socioeconomic heterogeneity in risk perception and adaptive capacity across communities.</w:t>
      </w:r>
    </w:p>
    <w:p w14:paraId="5BAAEF79" w14:textId="77777777" w:rsidR="00D31286" w:rsidRPr="00D458EF" w:rsidRDefault="00D31286" w:rsidP="005B487C">
      <w:pPr>
        <w:pStyle w:val="a3"/>
        <w:spacing w:line="360" w:lineRule="auto"/>
        <w:ind w:leftChars="0" w:left="1440"/>
        <w:rPr>
          <w:rFonts w:ascii="Times New Roman" w:hAnsi="Times New Roman" w:cs="Times New Roman"/>
          <w:bCs/>
        </w:rPr>
      </w:pPr>
    </w:p>
    <w:p w14:paraId="073B3A8E" w14:textId="3BE00FAF" w:rsidR="00FD3A4F" w:rsidRPr="00D458EF" w:rsidRDefault="00FD3A4F" w:rsidP="005B487C">
      <w:pPr>
        <w:pStyle w:val="a3"/>
        <w:numPr>
          <w:ilvl w:val="0"/>
          <w:numId w:val="26"/>
        </w:numPr>
        <w:spacing w:line="360" w:lineRule="auto"/>
        <w:ind w:leftChars="0"/>
        <w:rPr>
          <w:rFonts w:ascii="Times New Roman" w:hAnsi="Times New Roman" w:cs="Times New Roman"/>
          <w:bCs/>
        </w:rPr>
      </w:pPr>
      <w:r w:rsidRPr="00D458EF">
        <w:rPr>
          <w:rFonts w:ascii="Times New Roman" w:hAnsi="Times New Roman" w:cs="Times New Roman"/>
          <w:bCs/>
        </w:rPr>
        <w:t xml:space="preserve">Adoption probability prediction </w:t>
      </w:r>
      <w:r w:rsidR="00F0335C" w:rsidRPr="00D458EF">
        <w:rPr>
          <w:rFonts w:ascii="Times New Roman" w:hAnsi="Times New Roman" w:cs="Times New Roman"/>
          <w:bCs/>
        </w:rPr>
        <w:t xml:space="preserve">and </w:t>
      </w:r>
      <w:r w:rsidR="00D65739" w:rsidRPr="00D458EF">
        <w:rPr>
          <w:rFonts w:ascii="Times New Roman" w:hAnsi="Times New Roman" w:cs="Times New Roman"/>
          <w:bCs/>
        </w:rPr>
        <w:t>weighting</w:t>
      </w:r>
    </w:p>
    <w:p w14:paraId="1A4E286C" w14:textId="589C5B4F" w:rsidR="004D6211" w:rsidRPr="00D458EF" w:rsidRDefault="00DE2E75" w:rsidP="006F596A">
      <w:pPr>
        <w:pStyle w:val="a3"/>
        <w:spacing w:line="360" w:lineRule="auto"/>
        <w:ind w:leftChars="0" w:left="1440"/>
        <w:jc w:val="both"/>
        <w:rPr>
          <w:rFonts w:ascii="Times New Roman" w:hAnsi="Times New Roman" w:cs="Times New Roman"/>
          <w:bCs/>
        </w:rPr>
      </w:pPr>
      <w:r>
        <w:rPr>
          <w:rFonts w:ascii="Times New Roman" w:hAnsi="Times New Roman" w:cs="Times New Roman"/>
          <w:bCs/>
        </w:rPr>
        <w:tab/>
      </w:r>
      <w:r w:rsidR="00771CCC" w:rsidRPr="00D458EF">
        <w:rPr>
          <w:rFonts w:ascii="Times New Roman" w:hAnsi="Times New Roman" w:cs="Times New Roman"/>
          <w:bCs/>
        </w:rPr>
        <w:t xml:space="preserve">The adoption probability of each adaptation action is estimated using a Bayesian regression </w:t>
      </w:r>
      <w:r w:rsidR="001E1D39">
        <w:rPr>
          <w:rFonts w:ascii="Times New Roman" w:hAnsi="Times New Roman" w:cs="Times New Roman"/>
          <w:bCs/>
        </w:rPr>
        <w:t>model</w:t>
      </w:r>
      <w:r w:rsidR="00DC3485">
        <w:rPr>
          <w:rFonts w:ascii="Times New Roman" w:hAnsi="Times New Roman" w:cs="Times New Roman" w:hint="eastAsia"/>
          <w:bCs/>
        </w:rPr>
        <w:t xml:space="preserve"> (</w:t>
      </w:r>
      <w:r w:rsidR="00DC3485" w:rsidRPr="00DC3485">
        <w:rPr>
          <w:rFonts w:ascii="Times New Roman" w:hAnsi="Times New Roman" w:cs="Times New Roman" w:hint="eastAsia"/>
          <w:b/>
        </w:rPr>
        <w:t>Text S2</w:t>
      </w:r>
      <w:r w:rsidR="00DC3485">
        <w:rPr>
          <w:rFonts w:ascii="Times New Roman" w:hAnsi="Times New Roman" w:cs="Times New Roman" w:hint="eastAsia"/>
          <w:bCs/>
        </w:rPr>
        <w:t>)</w:t>
      </w:r>
      <w:r w:rsidR="009366D4">
        <w:rPr>
          <w:rFonts w:ascii="Times New Roman" w:hAnsi="Times New Roman" w:cs="Times New Roman" w:hint="eastAsia"/>
          <w:bCs/>
        </w:rPr>
        <w:t xml:space="preserve">. </w:t>
      </w:r>
      <w:r w:rsidR="002539D6">
        <w:rPr>
          <w:rFonts w:ascii="Times New Roman" w:hAnsi="Times New Roman" w:cs="Times New Roman" w:hint="eastAsia"/>
          <w:bCs/>
        </w:rPr>
        <w:t>T</w:t>
      </w:r>
      <w:r w:rsidR="00076477" w:rsidRPr="00076477">
        <w:rPr>
          <w:rFonts w:ascii="Times New Roman" w:hAnsi="Times New Roman" w:cs="Times New Roman"/>
          <w:bCs/>
        </w:rPr>
        <w:t>he tract-level MG share is treated as a stable structural characteristic because relocation flows are small relative to tract populations and do not substantially alter neighborhood socioeconomic composition over the simulation horizon.</w:t>
      </w:r>
      <w:r w:rsidR="00076477">
        <w:rPr>
          <w:rFonts w:ascii="Times New Roman" w:hAnsi="Times New Roman" w:cs="Times New Roman" w:hint="eastAsia"/>
          <w:bCs/>
        </w:rPr>
        <w:t xml:space="preserve"> </w:t>
      </w:r>
      <w:r w:rsidR="00771CCC" w:rsidRPr="00D458EF">
        <w:rPr>
          <w:rFonts w:ascii="Times New Roman" w:hAnsi="Times New Roman" w:cs="Times New Roman"/>
          <w:bCs/>
        </w:rPr>
        <w:t>The general form of the adoption probability equation is expressed as:</w:t>
      </w:r>
    </w:p>
    <w:tbl>
      <w:tblPr>
        <w:tblStyle w:val="aa"/>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7211"/>
        <w:gridCol w:w="473"/>
      </w:tblGrid>
      <w:tr w:rsidR="00C42921" w:rsidRPr="00D458EF" w14:paraId="18E88E73" w14:textId="77777777" w:rsidTr="00807039">
        <w:tc>
          <w:tcPr>
            <w:tcW w:w="236" w:type="dxa"/>
          </w:tcPr>
          <w:p w14:paraId="1C3AB8F5" w14:textId="77777777" w:rsidR="00C42921" w:rsidRPr="00D458EF" w:rsidRDefault="00C42921" w:rsidP="006F596A">
            <w:pPr>
              <w:pStyle w:val="a3"/>
              <w:spacing w:line="360" w:lineRule="auto"/>
              <w:ind w:leftChars="0" w:left="0"/>
              <w:jc w:val="both"/>
              <w:rPr>
                <w:rFonts w:ascii="Times New Roman" w:hAnsi="Times New Roman" w:cs="Times New Roman"/>
                <w:bCs/>
              </w:rPr>
            </w:pPr>
          </w:p>
        </w:tc>
        <w:tc>
          <w:tcPr>
            <w:tcW w:w="7396" w:type="dxa"/>
          </w:tcPr>
          <w:p w14:paraId="13D6427C" w14:textId="6F9C66F0" w:rsidR="00C42921" w:rsidRPr="00D458EF" w:rsidRDefault="00271330" w:rsidP="006F596A">
            <w:pPr>
              <w:pStyle w:val="a3"/>
              <w:spacing w:line="360" w:lineRule="auto"/>
              <w:ind w:leftChars="0" w:left="-84"/>
              <w:jc w:val="center"/>
              <w:rPr>
                <w:rFonts w:ascii="Times New Roman" w:hAnsi="Times New Roman" w:cs="Times New Roman"/>
                <w:bCs/>
              </w:rPr>
            </w:pPr>
            <m:oMath>
              <m:sSub>
                <m:sSubPr>
                  <m:ctrlPr>
                    <w:rPr>
                      <w:rFonts w:ascii="Cambria Math" w:hAnsi="Cambria Math" w:cstheme="minorBidi"/>
                      <w:i/>
                      <w:kern w:val="24"/>
                      <w:lang w:bidi="ar-AE"/>
                    </w:rPr>
                  </m:ctrlPr>
                </m:sSubPr>
                <m:e>
                  <m:acc>
                    <m:accPr>
                      <m:chr m:val="̃"/>
                      <m:ctrlPr>
                        <w:rPr>
                          <w:rFonts w:ascii="Cambria Math" w:hAnsi="Cambria Math" w:cstheme="minorBidi"/>
                          <w:i/>
                          <w:kern w:val="24"/>
                          <w:lang w:bidi="ar-AE"/>
                        </w:rPr>
                      </m:ctrlPr>
                    </m:accPr>
                    <m:e>
                      <m:r>
                        <w:rPr>
                          <w:rFonts w:ascii="Cambria Math" w:hAnsi="Cambria Math" w:cstheme="minorBidi"/>
                          <w:kern w:val="24"/>
                          <w:lang w:bidi="ar-AE"/>
                        </w:rPr>
                        <m:t>P</m:t>
                      </m:r>
                    </m:e>
                  </m:acc>
                </m:e>
                <m:sub>
                  <m:r>
                    <w:rPr>
                      <w:rFonts w:ascii="Cambria Math" w:hAnsi="Cambria Math" w:cstheme="minorBidi"/>
                      <w:kern w:val="24"/>
                      <w:lang w:bidi="ar-AE"/>
                    </w:rPr>
                    <m:t>a,i</m:t>
                  </m:r>
                </m:sub>
              </m:sSub>
              <m:r>
                <w:rPr>
                  <w:rFonts w:ascii="Cambria Math" w:hAnsi="Cambria Math" w:cs="Times New Roman"/>
                  <w:kern w:val="24"/>
                  <w:rtl/>
                  <w:lang w:bidi="ar-AE"/>
                </w:rPr>
                <m:t>=</m:t>
              </m:r>
              <m:sSub>
                <m:sSubPr>
                  <m:ctrlPr>
                    <w:rPr>
                      <w:rFonts w:ascii="Cambria Math" w:hAnsi="Cambria Math" w:cstheme="minorBidi"/>
                      <w:i/>
                      <w:kern w:val="24"/>
                    </w:rPr>
                  </m:ctrlPr>
                </m:sSubPr>
                <m:e>
                  <m:r>
                    <w:rPr>
                      <w:rFonts w:ascii="Cambria Math" w:hAnsi="Cambria Math" w:cstheme="minorBidi"/>
                      <w:kern w:val="24"/>
                    </w:rPr>
                    <m:t>w</m:t>
                  </m:r>
                </m:e>
                <m:sub>
                  <m:r>
                    <w:rPr>
                      <w:rFonts w:ascii="Cambria Math" w:hAnsi="Cambria Math" w:cstheme="minorBidi"/>
                      <w:kern w:val="24"/>
                    </w:rPr>
                    <m:t>MG</m:t>
                  </m:r>
                </m:sub>
              </m:sSub>
              <m:sSubSup>
                <m:sSubSupPr>
                  <m:ctrlPr>
                    <w:rPr>
                      <w:rFonts w:ascii="Cambria Math" w:hAnsi="Cambria Math" w:cstheme="minorBidi"/>
                      <w:i/>
                      <w:color w:val="000000" w:themeColor="text1"/>
                      <w:kern w:val="24"/>
                    </w:rPr>
                  </m:ctrlPr>
                </m:sSubSupPr>
                <m:e>
                  <m:r>
                    <w:rPr>
                      <w:rFonts w:ascii="Cambria Math" w:hAnsi="Cambria Math" w:cstheme="minorBidi"/>
                      <w:color w:val="000000" w:themeColor="text1"/>
                      <w:kern w:val="24"/>
                    </w:rPr>
                    <m:t>P</m:t>
                  </m:r>
                </m:e>
                <m:sub>
                  <m:r>
                    <w:rPr>
                      <w:rFonts w:ascii="Cambria Math" w:hAnsi="Cambria Math" w:cstheme="minorBidi"/>
                      <w:color w:val="000000" w:themeColor="text1"/>
                      <w:kern w:val="24"/>
                    </w:rPr>
                    <m:t>a,i</m:t>
                  </m:r>
                </m:sub>
                <m:sup>
                  <m:r>
                    <w:rPr>
                      <w:rFonts w:ascii="Cambria Math" w:hAnsi="Cambria Math" w:cstheme="minorBidi"/>
                      <w:color w:val="000000" w:themeColor="text1"/>
                      <w:kern w:val="24"/>
                    </w:rPr>
                    <m:t>MG</m:t>
                  </m:r>
                </m:sup>
              </m:sSubSup>
              <m:r>
                <w:rPr>
                  <w:rFonts w:ascii="Cambria Math" w:hAnsi="Cambria Math" w:cs="Times New Roman"/>
                  <w:kern w:val="24"/>
                  <w:rtl/>
                  <w:lang w:bidi="ar-AE"/>
                </w:rPr>
                <m:t>+</m:t>
              </m:r>
              <m:d>
                <m:dPr>
                  <m:ctrlPr>
                    <w:rPr>
                      <w:rFonts w:ascii="Cambria Math" w:hAnsi="Cambria Math" w:cstheme="minorBidi"/>
                      <w:i/>
                      <w:kern w:val="24"/>
                    </w:rPr>
                  </m:ctrlPr>
                </m:dPr>
                <m:e>
                  <m:r>
                    <w:rPr>
                      <w:rFonts w:ascii="Cambria Math" w:hAnsi="Cambria Math" w:cs="Times New Roman"/>
                      <w:kern w:val="24"/>
                      <w:rtl/>
                      <w:lang w:bidi="ar-AE"/>
                    </w:rPr>
                    <m:t>1-</m:t>
                  </m:r>
                  <m:sSub>
                    <m:sSubPr>
                      <m:ctrlPr>
                        <w:rPr>
                          <w:rFonts w:ascii="Cambria Math" w:hAnsi="Cambria Math" w:cstheme="minorBidi"/>
                          <w:i/>
                          <w:kern w:val="24"/>
                        </w:rPr>
                      </m:ctrlPr>
                    </m:sSubPr>
                    <m:e>
                      <m:r>
                        <w:rPr>
                          <w:rFonts w:ascii="Cambria Math" w:hAnsi="Cambria Math" w:cstheme="minorBidi"/>
                          <w:kern w:val="24"/>
                        </w:rPr>
                        <m:t>w</m:t>
                      </m:r>
                    </m:e>
                    <m:sub>
                      <m:r>
                        <w:rPr>
                          <w:rFonts w:ascii="Cambria Math" w:hAnsi="Cambria Math" w:cstheme="minorBidi"/>
                          <w:kern w:val="24"/>
                        </w:rPr>
                        <m:t>MG</m:t>
                      </m:r>
                    </m:sub>
                  </m:sSub>
                </m:e>
              </m:d>
              <m:sSubSup>
                <m:sSubSupPr>
                  <m:ctrlPr>
                    <w:rPr>
                      <w:rFonts w:ascii="Cambria Math" w:hAnsi="Cambria Math" w:cstheme="minorBidi"/>
                      <w:i/>
                      <w:color w:val="000000" w:themeColor="text1"/>
                      <w:kern w:val="24"/>
                    </w:rPr>
                  </m:ctrlPr>
                </m:sSubSupPr>
                <m:e>
                  <m:r>
                    <w:rPr>
                      <w:rFonts w:ascii="Cambria Math" w:hAnsi="Cambria Math" w:cstheme="minorBidi"/>
                      <w:color w:val="000000" w:themeColor="text1"/>
                      <w:kern w:val="24"/>
                    </w:rPr>
                    <m:t>P</m:t>
                  </m:r>
                </m:e>
                <m:sub>
                  <m:r>
                    <w:rPr>
                      <w:rFonts w:ascii="Cambria Math" w:hAnsi="Cambria Math" w:cstheme="minorBidi"/>
                      <w:color w:val="000000" w:themeColor="text1"/>
                      <w:kern w:val="24"/>
                    </w:rPr>
                    <m:t>a,i</m:t>
                  </m:r>
                </m:sub>
                <m:sup>
                  <m:r>
                    <w:rPr>
                      <w:rFonts w:ascii="Cambria Math" w:hAnsi="Cambria Math" w:cstheme="minorBidi"/>
                      <w:color w:val="000000" w:themeColor="text1"/>
                      <w:kern w:val="24"/>
                    </w:rPr>
                    <m:t>NMG</m:t>
                  </m:r>
                </m:sup>
              </m:sSubSup>
            </m:oMath>
            <w:r w:rsidR="00C42921" w:rsidRPr="00D458EF">
              <w:rPr>
                <w:rFonts w:ascii="Times New Roman" w:hAnsi="Times New Roman" w:cs="Times New Roman"/>
                <w:i/>
                <w:iCs/>
                <w:kern w:val="24"/>
                <w:rtl/>
                <w:lang w:bidi="ar-AE"/>
              </w:rPr>
              <w:t>.</w:t>
            </w:r>
          </w:p>
        </w:tc>
        <w:tc>
          <w:tcPr>
            <w:tcW w:w="288" w:type="dxa"/>
            <w:vAlign w:val="center"/>
          </w:tcPr>
          <w:p w14:paraId="1DC13A5C" w14:textId="1432BADB" w:rsidR="00C42921" w:rsidRPr="00D458EF" w:rsidRDefault="0022615A" w:rsidP="006F596A">
            <w:pPr>
              <w:pStyle w:val="a3"/>
              <w:spacing w:line="360" w:lineRule="auto"/>
              <w:ind w:leftChars="0" w:left="0"/>
              <w:jc w:val="both"/>
              <w:rPr>
                <w:rFonts w:ascii="Times New Roman" w:hAnsi="Times New Roman" w:cs="Times New Roman"/>
                <w:bCs/>
              </w:rPr>
            </w:pPr>
            <w:r>
              <w:rPr>
                <w:rFonts w:ascii="Times New Roman" w:hAnsi="Times New Roman" w:cs="Times New Roman" w:hint="eastAsia"/>
                <w:bCs/>
              </w:rPr>
              <w:t>(1)</w:t>
            </w:r>
          </w:p>
        </w:tc>
      </w:tr>
    </w:tbl>
    <w:p w14:paraId="704ECC1B" w14:textId="69D97421" w:rsidR="006F3294" w:rsidRPr="006F3294" w:rsidRDefault="006F3294" w:rsidP="006F596A">
      <w:pPr>
        <w:pStyle w:val="a3"/>
        <w:spacing w:line="360" w:lineRule="auto"/>
        <w:ind w:leftChars="644" w:left="1417"/>
        <w:jc w:val="both"/>
        <w:rPr>
          <w:rFonts w:ascii="Times New Roman" w:hAnsi="Times New Roman" w:cs="Times New Roman"/>
          <w:bCs/>
          <w:lang w:val="en-US"/>
        </w:rPr>
      </w:pPr>
      <w:r w:rsidRPr="006F3294">
        <w:rPr>
          <w:rFonts w:ascii="Times New Roman" w:hAnsi="Times New Roman" w:cs="Times New Roman"/>
          <w:bCs/>
          <w:lang w:val="en-US"/>
        </w:rPr>
        <w:t xml:space="preserve">where </w:t>
      </w:r>
      <m:oMath>
        <m:sSub>
          <m:sSubPr>
            <m:ctrlPr>
              <w:rPr>
                <w:rFonts w:ascii="Cambria Math" w:hAnsi="Cambria Math" w:cstheme="minorBidi"/>
                <w:i/>
                <w:kern w:val="24"/>
              </w:rPr>
            </m:ctrlPr>
          </m:sSubPr>
          <m:e>
            <m:r>
              <w:rPr>
                <w:rFonts w:ascii="Cambria Math" w:hAnsi="Cambria Math" w:cstheme="minorBidi"/>
                <w:kern w:val="24"/>
              </w:rPr>
              <m:t>w</m:t>
            </m:r>
          </m:e>
          <m:sub>
            <m:r>
              <w:rPr>
                <w:rFonts w:ascii="Cambria Math" w:hAnsi="Cambria Math" w:cstheme="minorBidi"/>
                <w:kern w:val="24"/>
              </w:rPr>
              <m:t>MG</m:t>
            </m:r>
          </m:sub>
        </m:sSub>
      </m:oMath>
      <w:r w:rsidRPr="006F3294">
        <w:rPr>
          <w:rFonts w:ascii="Times New Roman" w:hAnsi="Times New Roman" w:cs="Times New Roman"/>
          <w:bCs/>
          <w:lang w:val="en-US"/>
        </w:rPr>
        <w:t xml:space="preserve"> denotes the tract-level proportion of </w:t>
      </w:r>
      <w:r>
        <w:rPr>
          <w:rFonts w:ascii="Times New Roman" w:hAnsi="Times New Roman" w:cs="Times New Roman" w:hint="eastAsia"/>
          <w:bCs/>
          <w:lang w:val="en-US"/>
        </w:rPr>
        <w:t>MG</w:t>
      </w:r>
      <w:r w:rsidRPr="006F3294">
        <w:rPr>
          <w:rFonts w:ascii="Times New Roman" w:hAnsi="Times New Roman" w:cs="Times New Roman"/>
          <w:bCs/>
          <w:lang w:val="en-US"/>
        </w:rPr>
        <w:t xml:space="preserve">, and </w:t>
      </w:r>
      <m:oMath>
        <m:sSubSup>
          <m:sSubSupPr>
            <m:ctrlPr>
              <w:rPr>
                <w:rFonts w:ascii="Cambria Math" w:hAnsi="Cambria Math" w:cstheme="minorBidi"/>
                <w:i/>
                <w:color w:val="000000" w:themeColor="text1"/>
                <w:kern w:val="24"/>
              </w:rPr>
            </m:ctrlPr>
          </m:sSubSupPr>
          <m:e>
            <m:r>
              <w:rPr>
                <w:rFonts w:ascii="Cambria Math" w:hAnsi="Cambria Math" w:cstheme="minorBidi"/>
                <w:color w:val="000000" w:themeColor="text1"/>
                <w:kern w:val="24"/>
              </w:rPr>
              <m:t>P</m:t>
            </m:r>
          </m:e>
          <m:sub>
            <m:r>
              <w:rPr>
                <w:rFonts w:ascii="Cambria Math" w:hAnsi="Cambria Math" w:cstheme="minorBidi"/>
                <w:color w:val="000000" w:themeColor="text1"/>
                <w:kern w:val="24"/>
              </w:rPr>
              <m:t>a,i</m:t>
            </m:r>
          </m:sub>
          <m:sup>
            <m:r>
              <w:rPr>
                <w:rFonts w:ascii="Cambria Math" w:hAnsi="Cambria Math" w:cstheme="minorBidi"/>
                <w:color w:val="000000" w:themeColor="text1"/>
                <w:kern w:val="24"/>
              </w:rPr>
              <m:t>MG</m:t>
            </m:r>
          </m:sup>
        </m:sSubSup>
      </m:oMath>
      <w:r w:rsidRPr="006F3294">
        <w:rPr>
          <w:rFonts w:ascii="Times New Roman" w:hAnsi="Times New Roman" w:cs="Times New Roman"/>
          <w:bCs/>
          <w:lang w:val="en-US"/>
        </w:rPr>
        <w:t xml:space="preserve"> and </w:t>
      </w:r>
      <m:oMath>
        <m:sSubSup>
          <m:sSubSupPr>
            <m:ctrlPr>
              <w:rPr>
                <w:rFonts w:ascii="Cambria Math" w:hAnsi="Cambria Math" w:cstheme="minorBidi"/>
                <w:i/>
                <w:color w:val="000000" w:themeColor="text1"/>
                <w:kern w:val="24"/>
              </w:rPr>
            </m:ctrlPr>
          </m:sSubSupPr>
          <m:e>
            <m:r>
              <w:rPr>
                <w:rFonts w:ascii="Cambria Math" w:hAnsi="Cambria Math" w:cstheme="minorBidi"/>
                <w:color w:val="000000" w:themeColor="text1"/>
                <w:kern w:val="24"/>
              </w:rPr>
              <m:t>P</m:t>
            </m:r>
          </m:e>
          <m:sub>
            <m:r>
              <w:rPr>
                <w:rFonts w:ascii="Cambria Math" w:hAnsi="Cambria Math" w:cstheme="minorBidi"/>
                <w:color w:val="000000" w:themeColor="text1"/>
                <w:kern w:val="24"/>
              </w:rPr>
              <m:t>a,i</m:t>
            </m:r>
          </m:sub>
          <m:sup>
            <m:r>
              <w:rPr>
                <w:rFonts w:ascii="Cambria Math" w:hAnsi="Cambria Math" w:cstheme="minorBidi"/>
                <w:color w:val="000000" w:themeColor="text1"/>
                <w:kern w:val="24"/>
              </w:rPr>
              <m:t>NMG</m:t>
            </m:r>
          </m:sup>
        </m:sSubSup>
        <m:r>
          <w:rPr>
            <w:rFonts w:ascii="Cambria Math" w:hAnsi="Cambria Math" w:cstheme="minorBidi"/>
            <w:color w:val="000000" w:themeColor="text1"/>
            <w:kern w:val="24"/>
          </w:rPr>
          <m:t xml:space="preserve"> </m:t>
        </m:r>
      </m:oMath>
      <w:r w:rsidRPr="006F3294">
        <w:rPr>
          <w:rFonts w:ascii="Times New Roman" w:hAnsi="Times New Roman" w:cs="Times New Roman"/>
          <w:bCs/>
          <w:lang w:val="en-US"/>
        </w:rPr>
        <w:t xml:space="preserve">represent the </w:t>
      </w:r>
      <w:r w:rsidR="002C263C">
        <w:rPr>
          <w:rFonts w:ascii="Times New Roman" w:hAnsi="Times New Roman" w:cs="Times New Roman" w:hint="eastAsia"/>
          <w:bCs/>
          <w:lang w:val="en-US"/>
        </w:rPr>
        <w:t>predicted</w:t>
      </w:r>
      <w:r w:rsidRPr="006F3294">
        <w:rPr>
          <w:rFonts w:ascii="Times New Roman" w:hAnsi="Times New Roman" w:cs="Times New Roman"/>
          <w:bCs/>
          <w:lang w:val="en-US"/>
        </w:rPr>
        <w:t xml:space="preserve"> adoption probabilities for MG and NMG </w:t>
      </w:r>
      <w:r w:rsidR="00115B1D">
        <w:rPr>
          <w:rFonts w:ascii="Times New Roman" w:hAnsi="Times New Roman" w:cs="Times New Roman"/>
          <w:bCs/>
          <w:lang w:val="en-US"/>
        </w:rPr>
        <w:t>toward</w:t>
      </w:r>
      <w:r w:rsidR="00115B1D">
        <w:rPr>
          <w:rFonts w:ascii="Times New Roman" w:hAnsi="Times New Roman" w:cs="Times New Roman" w:hint="eastAsia"/>
          <w:bCs/>
          <w:lang w:val="en-US"/>
        </w:rPr>
        <w:t xml:space="preserve"> action </w:t>
      </w:r>
      <m:oMath>
        <m:r>
          <w:rPr>
            <w:rFonts w:ascii="Cambria Math" w:hAnsi="Cambria Math" w:cstheme="minorBidi"/>
            <w:color w:val="000000" w:themeColor="text1"/>
            <w:kern w:val="24"/>
          </w:rPr>
          <m:t>a</m:t>
        </m:r>
      </m:oMath>
      <w:r w:rsidR="00115B1D">
        <w:rPr>
          <w:rFonts w:ascii="Times New Roman" w:hAnsi="Times New Roman" w:cs="Times New Roman" w:hint="eastAsia"/>
          <w:bCs/>
          <w:lang w:val="en-US"/>
        </w:rPr>
        <w:t xml:space="preserve"> at tract </w:t>
      </w:r>
      <m:oMath>
        <m:r>
          <w:rPr>
            <w:rFonts w:ascii="Cambria Math" w:hAnsi="Cambria Math" w:cs="Times New Roman"/>
            <w:lang w:val="en-US"/>
          </w:rPr>
          <m:t>i</m:t>
        </m:r>
      </m:oMath>
      <w:r w:rsidRPr="006F3294">
        <w:rPr>
          <w:rFonts w:ascii="Times New Roman" w:hAnsi="Times New Roman" w:cs="Times New Roman"/>
          <w:bCs/>
          <w:lang w:val="en-US"/>
        </w:rPr>
        <w:t>, respectively.</w:t>
      </w:r>
    </w:p>
    <w:p w14:paraId="05F41249" w14:textId="77777777" w:rsidR="00771CCC" w:rsidRPr="00D458EF" w:rsidRDefault="00771CCC" w:rsidP="005B487C">
      <w:pPr>
        <w:pStyle w:val="a3"/>
        <w:spacing w:line="360" w:lineRule="auto"/>
        <w:ind w:leftChars="0" w:left="1440"/>
        <w:rPr>
          <w:rFonts w:ascii="Times New Roman" w:hAnsi="Times New Roman" w:cs="Times New Roman"/>
          <w:bCs/>
        </w:rPr>
      </w:pPr>
    </w:p>
    <w:p w14:paraId="53E7C8F2" w14:textId="2B83CF33" w:rsidR="004D6211" w:rsidRPr="00D458EF" w:rsidRDefault="00771CCC" w:rsidP="005B487C">
      <w:pPr>
        <w:pStyle w:val="a3"/>
        <w:numPr>
          <w:ilvl w:val="0"/>
          <w:numId w:val="23"/>
        </w:numPr>
        <w:spacing w:line="360" w:lineRule="auto"/>
        <w:ind w:leftChars="0" w:left="964" w:hanging="482"/>
        <w:outlineLvl w:val="2"/>
        <w:rPr>
          <w:rFonts w:ascii="Times New Roman" w:hAnsi="Times New Roman" w:cs="Times New Roman"/>
          <w:bCs/>
        </w:rPr>
      </w:pPr>
      <w:r w:rsidRPr="00D458EF">
        <w:rPr>
          <w:rFonts w:ascii="Times New Roman" w:hAnsi="Times New Roman" w:cs="Times New Roman"/>
          <w:bCs/>
        </w:rPr>
        <w:t>Memory decay of threat perception</w:t>
      </w:r>
    </w:p>
    <w:p w14:paraId="3BCAFECC" w14:textId="72A408DB" w:rsidR="00FE515A" w:rsidRPr="00D458EF" w:rsidRDefault="00FE515A" w:rsidP="005B487C">
      <w:pPr>
        <w:pStyle w:val="a3"/>
        <w:numPr>
          <w:ilvl w:val="0"/>
          <w:numId w:val="28"/>
        </w:numPr>
        <w:spacing w:line="360" w:lineRule="auto"/>
        <w:ind w:leftChars="0"/>
        <w:rPr>
          <w:rFonts w:ascii="Times New Roman" w:hAnsi="Times New Roman" w:cs="Times New Roman"/>
          <w:bCs/>
        </w:rPr>
      </w:pPr>
      <w:r w:rsidRPr="00D458EF">
        <w:rPr>
          <w:rFonts w:ascii="Times New Roman" w:hAnsi="Times New Roman" w:cs="Times New Roman"/>
          <w:bCs/>
        </w:rPr>
        <w:t>Introduction of the decay of threat perception</w:t>
      </w:r>
    </w:p>
    <w:p w14:paraId="4370B43D" w14:textId="21C32E23" w:rsidR="00771CCC" w:rsidRPr="00D458EF" w:rsidRDefault="00DB25B5" w:rsidP="00F32BD0">
      <w:pPr>
        <w:pStyle w:val="a3"/>
        <w:spacing w:line="360" w:lineRule="auto"/>
        <w:ind w:leftChars="0" w:left="1440"/>
        <w:jc w:val="both"/>
        <w:rPr>
          <w:rFonts w:ascii="Times New Roman" w:hAnsi="Times New Roman" w:cs="Times New Roman"/>
          <w:bCs/>
        </w:rPr>
      </w:pPr>
      <w:r>
        <w:rPr>
          <w:rFonts w:ascii="Times New Roman" w:hAnsi="Times New Roman" w:cs="Times New Roman"/>
          <w:bCs/>
        </w:rPr>
        <w:tab/>
      </w:r>
      <w:r w:rsidR="000462CF" w:rsidRPr="00D458EF">
        <w:rPr>
          <w:rFonts w:ascii="Times New Roman" w:hAnsi="Times New Roman" w:cs="Times New Roman"/>
          <w:bCs/>
        </w:rPr>
        <w:t>The collective memory of flood experiences, which is closely linked to perceived flood threat, tends to fade over time in the absence of flood events</w:t>
      </w:r>
      <w:r w:rsidR="00ED1A89" w:rsidRPr="00D458EF">
        <w:rPr>
          <w:rFonts w:ascii="Times New Roman" w:hAnsi="Times New Roman" w:cs="Times New Roman"/>
          <w:bCs/>
        </w:rPr>
        <w:t xml:space="preserve"> </w:t>
      </w:r>
      <w:r w:rsidR="00ED1A89" w:rsidRPr="00D458EF">
        <w:rPr>
          <w:rFonts w:ascii="Times New Roman" w:hAnsi="Times New Roman" w:cs="Times New Roman"/>
          <w:bCs/>
        </w:rPr>
        <w:fldChar w:fldCharType="begin"/>
      </w:r>
      <w:r w:rsidR="00BA437D" w:rsidRPr="00D458EF">
        <w:rPr>
          <w:rFonts w:ascii="Times New Roman" w:hAnsi="Times New Roman" w:cs="Times New Roman"/>
          <w:bCs/>
        </w:rPr>
        <w:instrText xml:space="preserve"> ADDIN ZOTERO_ITEM CSL_CITATION {"citationID":"3hWL56q8","properties":{"formattedCitation":"(McEwen et al., 2017; Ridolfi et al., 2020)","plainCitation":"(McEwen et al., 2017; Ridolfi et al., 2020)","noteIndex":0},"citationItems":[{"id":1969,"uris":["http://zotero.org/users/14772686/items/DN7VJ4VC"],"itemData":{"id":1969,"type":"article-journal","abstract":"The paradigm shift to more distributed flood risk management strategies in the UK involves devolved responsibilities to the local, and the need to enhance risk ownership by communities. This poses questions about how communities build resilience to future flood risk, and how agencies support these processes. This paper explores results from interdisciplinary research on ‘sustainable flood memory’ in the context of effective flood risk management as a conceptual contribution to a global priority. The project aimed to increase understanding of how flood memories provide a platform for developing and sharing lay knowledges, creating social learning opportunities to increase communities’ adaptive capacities for resilience. The paper starts by conceptually framing resilience, community, lay knowledge and flood memory. It then explores key themes drawn from semi-structured interviews with floodplain residents affected by the UK summer 2007 floods in four different settings, which contrasted in terms of their flood histories, experiences and kinds of ‘communities’. Sustainable flood memories were found to be associated with relational ways of knowing, situated in emotions, changing materiality and community tensions. These all influenced active remembering and active forgetting. The paper reflects on varying integrations of memory, lay knowledges and resilience, and critically evaluates implications of the sustainable flood memory concept for the strategy, process and practice of developing community flood resilience. Given the concept's value and importance of ‘memory work’, the paper proposes a framework to translate the concept practically into community resilience initiatives, and to inform how risk and flood experiences are communicated within communities.","container-title":"Transactions of the Institute of British Geographers","DOI":"10.1111/tran.12149","ISSN":"1475-5661","issue":"1","language":"en","license":"The information, practices and views in this article are those of the author(s) and do not necessarily reflect the opinion of the Royal Geographical Society (with IBG). © 2016 The Authors. Transactions of the Institute of British Geographers published by John Wiley &amp; Sons Ltd on behalf of Royal Geographical Society (with The Institute of British Geographers).","note":"_eprint: https://rgs-ibg.onlinelibrary.wiley.com/doi/pdf/10.1111/tran.12149","page":"14-28","source":"Wiley Online Library","title":"Sustainable flood memories, lay knowledges and the development of community resilience to future flood risk","volume":"42","author":[{"family":"McEwen","given":"Lindsey"},{"family":"Garde-Hansen","given":"Joanne"},{"family":"Holmes","given":"Andrew"},{"family":"Jones","given":"Owain"},{"family":"Krause","given":"Franz"}],"issued":{"date-parts":[["2017"]]}}},{"id":74,"uris":["http://zotero.org/users/14772686/items/UX3K5K2E"],"itemData":{"id":74,"type":"article-journal","abstract":"Recent literature in sociohydrology has shown the important role of flood memory in shaping hydrological risk. In this paper, we present a system dynamics model of human–flood interactions that simulates how the river proximity of human settlements is altered by changes in flood memory. We also compare our model outcomes with an unprecedented dataset consisting of historical and archeological observations of human settlements in the Czech Republic that have been affected by major flood events. This comparison allows us to evaluate the potentials and limitations of our sociohydrological model in capturing essential features of flood risk changes, including the process of resettling farther and closer to the river. Our results show that the accumulation (and decay) of collective memory has potential in explaining temporal changes of flood risk driven by the occurrence (or absence) of major events. As such, this study contributes to advancing knowledge about the complex dynamics of human–water systems, while providing useful insights in the field of flood risk reduction.","container-title":"Hydrology Research","DOI":"10.2166/nh.2020.195","ISSN":"0029-1277","issue":"1","journalAbbreviation":"Hydrology Research","page":"241-252","source":"Silverchair","title":"Hydrological risk: modeling flood memory and human proximity to rivers","title-short":"Hydrological risk","volume":"52","author":[{"family":"Ridolfi","given":"Elena"},{"family":"Mondino","given":"Elena"},{"family":"Di Baldassarre","given":"Giuliano"}],"issued":{"date-parts":[["2020",10,15]]}}}],"schema":"https://github.com/citation-style-language/schema/raw/master/csl-citation.json"} </w:instrText>
      </w:r>
      <w:r w:rsidR="00ED1A89" w:rsidRPr="00D458EF">
        <w:rPr>
          <w:rFonts w:ascii="Times New Roman" w:hAnsi="Times New Roman" w:cs="Times New Roman"/>
          <w:bCs/>
        </w:rPr>
        <w:fldChar w:fldCharType="separate"/>
      </w:r>
      <w:r w:rsidR="00481D7C" w:rsidRPr="00D458EF">
        <w:rPr>
          <w:rFonts w:ascii="Times New Roman" w:hAnsi="Times New Roman" w:cs="Times New Roman"/>
        </w:rPr>
        <w:t>(McEwen et al., 2017; Ridolfi et al., 2020)</w:t>
      </w:r>
      <w:r w:rsidR="00ED1A89" w:rsidRPr="00D458EF">
        <w:rPr>
          <w:rFonts w:ascii="Times New Roman" w:hAnsi="Times New Roman" w:cs="Times New Roman"/>
          <w:bCs/>
        </w:rPr>
        <w:fldChar w:fldCharType="end"/>
      </w:r>
      <w:r w:rsidR="0064466C" w:rsidRPr="00D458EF">
        <w:rPr>
          <w:rFonts w:ascii="Times New Roman" w:hAnsi="Times New Roman" w:cs="Times New Roman"/>
          <w:bCs/>
        </w:rPr>
        <w:t>.</w:t>
      </w:r>
      <w:r w:rsidR="000462CF" w:rsidRPr="00D458EF">
        <w:rPr>
          <w:rFonts w:ascii="Times New Roman" w:hAnsi="Times New Roman" w:cs="Times New Roman"/>
          <w:bCs/>
        </w:rPr>
        <w:t xml:space="preserve"> Previous studies have shown that this fading mechanism influences residents’ decision-making and long-term resilience to flood risk</w:t>
      </w:r>
      <w:r w:rsidR="00ED1A89" w:rsidRPr="00D458EF">
        <w:rPr>
          <w:rFonts w:ascii="Times New Roman" w:hAnsi="Times New Roman" w:cs="Times New Roman"/>
          <w:bCs/>
        </w:rPr>
        <w:t xml:space="preserve"> </w:t>
      </w:r>
      <w:r w:rsidR="00ED1A89" w:rsidRPr="00D458EF">
        <w:rPr>
          <w:rFonts w:ascii="Times New Roman" w:hAnsi="Times New Roman" w:cs="Times New Roman"/>
          <w:bCs/>
        </w:rPr>
        <w:fldChar w:fldCharType="begin"/>
      </w:r>
      <w:r w:rsidR="00682F70" w:rsidRPr="00D458EF">
        <w:rPr>
          <w:rFonts w:ascii="Times New Roman" w:hAnsi="Times New Roman" w:cs="Times New Roman"/>
          <w:bCs/>
        </w:rPr>
        <w:instrText xml:space="preserve"> ADDIN ZOTERO_ITEM CSL_CITATION {"citationID":"dsz8BbT2","properties":{"formattedCitation":"(Del Missier et al., 2013; McEwen et al., 2017)","plainCitation":"(Del Missier et al., 2013; McEwen et al., 2017)","noteIndex":0},"citationItems":[{"id":1972,"uris":["http://zotero.org/users/14772686/items/JDTH3JVI"],"itemData":{"id":1972,"type":"article-journal","abstract":"Several judgment and decision-making tasks are assumed to involve memory functions, but significant knowledge gaps on the memory processes underlying these tasks remain. In a study on 568 adults between 25 and 80 years of age, hypotheses were tested on the specific relationships between individual differences in working memory, episodic memory, and semantic memory, respectively, and 6 main components of decision-making competence. In line with the hypotheses, working memory was positively related with the more cognitively demanding tasks (Resistance to Framing, Applying Decision Rules, and Under/Overconfidence), whereas episodic memory was positively associated with a more experience-based judgment task (Recognizing Social Norms). Furthermore, semantic memory was positively related with 2 more knowledge-based decision-making tasks (Consistency in Risk Perception and Resistance to Sunk Costs). Finally, the age-related decline observed in some of the decision-making tasks was (partially or totally) mediated by the age-related decline in working memory or episodic memory. These findings are discussed in relation to the functional roles fulfilled by different memory processes in judgment and decision-making tasks. (PsycInfo Database Record (c) 2025 APA, all rights reserved)","container-title":"Journal of Experimental Psychology: Learning, Memory, and Cognition","DOI":"10.1037/a0032379","ISSN":"1939-1285","issue":"5","note":"publisher-place: US","page":"1344-1364","publisher":"American Psychological Association","source":"APA PsycNet","title":"The multifold relationship between memory and decision making: An individual-differences study","title-short":"The multifold relationship between memory and decision making","volume":"39","author":[{"family":"Del Missier","given":"Fabio"},{"family":"Mäntylä","given":"Timo"},{"family":"Hansson","given":"Patrik"},{"family":"Bruine de Bruin","given":"Wändi"},{"family":"Parker","given":"Andrew M."},{"family":"Nilsson","given":"Lars-Göran"}],"issued":{"date-parts":[["2013"]]}}},{"id":1969,"uris":["http://zotero.org/users/14772686/items/DN7VJ4VC"],"itemData":{"id":1969,"type":"article-journal","abstract":"The paradigm shift to more distributed flood risk management strategies in the UK involves devolved responsibilities to the local, and the need to enhance risk ownership by communities. This poses questions about how communities build resilience to future flood risk, and how agencies support these processes. This paper explores results from interdisciplinary research on ‘sustainable flood memory’ in the context of effective flood risk management as a conceptual contribution to a global priority. The project aimed to increase understanding of how flood memories provide a platform for developing and sharing lay knowledges, creating social learning opportunities to increase communities’ adaptive capacities for resilience. The paper starts by conceptually framing resilience, community, lay knowledge and flood memory. It then explores key themes drawn from semi-structured interviews with floodplain residents affected by the UK summer 2007 floods in four different settings, which contrasted in terms of their flood histories, experiences and kinds of ‘communities’. Sustainable flood memories were found to be associated with relational ways of knowing, situated in emotions, changing materiality and community tensions. These all influenced active remembering and active forgetting. The paper reflects on varying integrations of memory, lay knowledges and resilience, and critically evaluates implications of the sustainable flood memory concept for the strategy, process and practice of developing community flood resilience. Given the concept's value and importance of ‘memory work’, the paper proposes a framework to translate the concept practically into community resilience initiatives, and to inform how risk and flood experiences are communicated within communities.","container-title":"Transactions of the Institute of British Geographers","DOI":"10.1111/tran.12149","ISSN":"1475-5661","issue":"1","language":"en","license":"The information, practices and views in this article are those of the author(s) and do not necessarily reflect the opinion of the Royal Geographical Society (with IBG). © 2016 The Authors. Transactions of the Institute of British Geographers published by John Wiley &amp; Sons Ltd on behalf of Royal Geographical Society (with The Institute of British Geographers).","note":"_eprint: https://rgs-ibg.onlinelibrary.wiley.com/doi/pdf/10.1111/tran.12149","page":"14-28","source":"Wiley Online Library","title":"Sustainable flood memories, lay knowledges and the development of community resilience to future flood risk","volume":"42","author":[{"family":"McEwen","given":"Lindsey"},{"family":"Garde-Hansen","given":"Joanne"},{"family":"Holmes","given":"Andrew"},{"family":"Jones","given":"Owain"},{"family":"Krause","given":"Franz"}],"issued":{"date-parts":[["2017"]]}}}],"schema":"https://github.com/citation-style-language/schema/raw/master/csl-citation.json"} </w:instrText>
      </w:r>
      <w:r w:rsidR="00ED1A89" w:rsidRPr="00D458EF">
        <w:rPr>
          <w:rFonts w:ascii="Times New Roman" w:hAnsi="Times New Roman" w:cs="Times New Roman"/>
          <w:bCs/>
        </w:rPr>
        <w:fldChar w:fldCharType="separate"/>
      </w:r>
      <w:r w:rsidR="00ED1A89" w:rsidRPr="00D458EF">
        <w:rPr>
          <w:rFonts w:ascii="Times New Roman" w:hAnsi="Times New Roman" w:cs="Times New Roman"/>
        </w:rPr>
        <w:t>(Del Missier et al., 2013; McEwen et al., 2017)</w:t>
      </w:r>
      <w:r w:rsidR="00ED1A89" w:rsidRPr="00D458EF">
        <w:rPr>
          <w:rFonts w:ascii="Times New Roman" w:hAnsi="Times New Roman" w:cs="Times New Roman"/>
          <w:bCs/>
        </w:rPr>
        <w:fldChar w:fldCharType="end"/>
      </w:r>
      <w:r w:rsidR="00ED1A89" w:rsidRPr="00D458EF">
        <w:rPr>
          <w:rFonts w:ascii="Times New Roman" w:hAnsi="Times New Roman" w:cs="Times New Roman"/>
          <w:bCs/>
        </w:rPr>
        <w:t xml:space="preserve">. </w:t>
      </w:r>
      <w:r w:rsidR="00951890" w:rsidRPr="00D458EF">
        <w:rPr>
          <w:rFonts w:ascii="Times New Roman" w:hAnsi="Times New Roman" w:cs="Times New Roman"/>
          <w:bCs/>
        </w:rPr>
        <w:t xml:space="preserve">Recent </w:t>
      </w:r>
      <w:r w:rsidR="00D7361B">
        <w:rPr>
          <w:rFonts w:ascii="Times New Roman" w:hAnsi="Times New Roman" w:cs="Times New Roman" w:hint="eastAsia"/>
          <w:bCs/>
        </w:rPr>
        <w:t xml:space="preserve">ABM </w:t>
      </w:r>
      <w:r w:rsidR="00951890" w:rsidRPr="00D458EF">
        <w:rPr>
          <w:rFonts w:ascii="Times New Roman" w:hAnsi="Times New Roman" w:cs="Times New Roman"/>
          <w:bCs/>
        </w:rPr>
        <w:t>efforts have incorporated this process as a key dynamic in human–environment interactions, quantifying flood shocks to represent sharp increases in perceived risk and the reinforcing effects of social networks</w:t>
      </w:r>
      <w:r w:rsidR="00481D7C" w:rsidRPr="00D458EF">
        <w:rPr>
          <w:rFonts w:ascii="Times New Roman" w:hAnsi="Times New Roman" w:cs="Times New Roman"/>
          <w:bCs/>
        </w:rPr>
        <w:t xml:space="preserve"> </w:t>
      </w:r>
      <w:r w:rsidR="00481D7C" w:rsidRPr="00D458EF">
        <w:rPr>
          <w:rFonts w:ascii="Times New Roman" w:hAnsi="Times New Roman" w:cs="Times New Roman"/>
          <w:bCs/>
        </w:rPr>
        <w:fldChar w:fldCharType="begin"/>
      </w:r>
      <w:r w:rsidR="00D60DBA">
        <w:rPr>
          <w:rFonts w:ascii="Times New Roman" w:hAnsi="Times New Roman" w:cs="Times New Roman"/>
          <w:bCs/>
        </w:rPr>
        <w:instrText xml:space="preserve"> ADDIN ZOTERO_ITEM CSL_CITATION {"citationID":"WtlQGr28","properties":{"formattedCitation":"(Michaelis et al., 2020; Moradzadeh &amp; Ahmadi, 2024)","plainCitation":"(Michaelis et al., 2020; Moradzadeh &amp; Ahmadi, 2024)","noteIndex":0},"citationItems":[{"id":"NkoeHmjM/BREg5uwI","uris":["http://zotero.org/users/14772686/items/IUZ5W2T8"],"itemData":{"id":96,"type":"article-journal","abstract":"Two-way interactions and feedback between hydrological and social processes in settled floodplains determine the complex human–flood system and change vulnerability over time. To focus on the dynamic role of individual and governmental decision making on flood-risk management, we developed and implemented a coupled agent-based and hydraulic modelling framework. Within this framework, household agents are located in a floodplain protected by a levee system. Individual behaviour is based on Protection Motivation Theory and includes the options to (1) not react to flood risk; (2) implement individual flood protection measures; or (3) file a complaint to the government. The government decides about reinforcing the levee system, compromising between a cost-benefit analysis and filed complaints from households. We found that individual decision making can significantly influence flood risk. In addition, the coupled agent-based and hydraulic modelling framework approach captures commonly observed socio-hydrological dynamics, namely levee and adaptation effects. It provides an explanatory tool for assessing spatial and temporal dynamics of flood risk in a socio-hydrological system.","container-title":"Hydrological Sciences Journal","DOI":"10.1080/02626667.2020.1750617","ISSN":"0262-6667","issue":"9","note":"_eprint: https://doi.org/10.1080/02626667.2020.1750617","page":"1458-1473","publisher":"Taylor &amp; Francis","source":"Taylor and Francis+NEJM","title":"Capturing flood-risk dynamics with a coupled agent-based and hydraulic modelling framework","volume":"65","author":[{"family":"Michaelis","given":"Tamara"},{"family":"Brandimarte","given":"Luigia"},{"family":"Mazzoleni","given":"Maurizio"}],"issued":{"date-parts":[["2020",7,3]]}}},{"id":"NkoeHmjM/EZ7NIDP5","uris":["http://zotero.org/users/14772686/items/Z2HRG7EG"],"itemData":{"id":90,"type":"article-journal","abstract":"Flooding is a frequent and highly destructive natural disaster that requires effective flood management policies. This paper addresses the limitations of traditional flood risk assessment methods, focusing on the interplay between human decisions and flood risk using an integrated approach. Agent-Based Modeling (ABM) is employed to capture the social behavior of government, households, and farmers in three flood management scenarios. The study is conducted in the Fall River watershed, Idaho, USA, over a 30-year period. The results highlight the important influence of crop selection decisions on flood damage outcomes, with alfalfa emerging as the preferred crop due to its profitability and lower damage potential (around 67 % crop loss compared to more than 81 % for crops like corn, barley, and wheat). The levee scenario is identified as the most effective strategy, significantly reducing flood damage by more than 37 % and generating the highest average annual profit for farmers. The study emphasizes the need for comprehensive flood risk management strategies that address both frequent and rare flood occurrences in mitigating flood damage and promoting community resilience. By integrating human-flood interactions into flood risk assessment, this study offers valuable insights for Policymakers and stakeholders can utilize the research implications to develop effective strategies that mitigate damage and enhance community resilience.","container-title":"International Journal of Disaster Risk Reduction","DOI":"10.1016/j.ijdrr.2024.104486","ISSN":"2212-4209","journalAbbreviation":"International Journal of Disaster Risk Reduction","page":"104486","source":"ScienceDirect","title":"Unraveling the interplay of human decisions and flood risk: An agent-based modeling approach","title-short":"Unraveling the interplay of human decisions and flood risk","volume":"107","author":[{"family":"Moradzadeh","given":"Matin"},{"family":"Ahmadi","given":"Mehdi"}],"issued":{"date-parts":[["2024",6,1]]}}}],"schema":"https://github.com/citation-style-language/schema/raw/master/csl-citation.json"} </w:instrText>
      </w:r>
      <w:r w:rsidR="00481D7C" w:rsidRPr="00D458EF">
        <w:rPr>
          <w:rFonts w:ascii="Times New Roman" w:hAnsi="Times New Roman" w:cs="Times New Roman"/>
          <w:bCs/>
        </w:rPr>
        <w:fldChar w:fldCharType="separate"/>
      </w:r>
      <w:r w:rsidR="0084254A" w:rsidRPr="00D458EF">
        <w:rPr>
          <w:rFonts w:ascii="Times New Roman" w:hAnsi="Times New Roman" w:cs="Times New Roman"/>
        </w:rPr>
        <w:t>(Michaelis et al., 2020; Moradzadeh &amp; Ahmadi, 2024)</w:t>
      </w:r>
      <w:r w:rsidR="00481D7C" w:rsidRPr="00D458EF">
        <w:rPr>
          <w:rFonts w:ascii="Times New Roman" w:hAnsi="Times New Roman" w:cs="Times New Roman"/>
          <w:bCs/>
        </w:rPr>
        <w:fldChar w:fldCharType="end"/>
      </w:r>
      <w:r w:rsidR="00481D7C" w:rsidRPr="00D458EF">
        <w:rPr>
          <w:rFonts w:ascii="Times New Roman" w:hAnsi="Times New Roman" w:cs="Times New Roman"/>
          <w:bCs/>
        </w:rPr>
        <w:t>.</w:t>
      </w:r>
    </w:p>
    <w:p w14:paraId="1447B98B" w14:textId="77777777" w:rsidR="00481D7C" w:rsidRPr="00D458EF" w:rsidRDefault="00481D7C" w:rsidP="005B487C">
      <w:pPr>
        <w:pStyle w:val="a3"/>
        <w:spacing w:line="360" w:lineRule="auto"/>
        <w:ind w:leftChars="0" w:left="1440"/>
        <w:rPr>
          <w:rFonts w:ascii="Times New Roman" w:hAnsi="Times New Roman" w:cs="Times New Roman"/>
          <w:bCs/>
        </w:rPr>
      </w:pPr>
    </w:p>
    <w:p w14:paraId="28CBC77E" w14:textId="25781CA3" w:rsidR="00334D05" w:rsidRPr="00264A94" w:rsidRDefault="00FE515A" w:rsidP="005B487C">
      <w:pPr>
        <w:pStyle w:val="a3"/>
        <w:numPr>
          <w:ilvl w:val="0"/>
          <w:numId w:val="28"/>
        </w:numPr>
        <w:spacing w:line="360" w:lineRule="auto"/>
        <w:ind w:leftChars="0"/>
        <w:rPr>
          <w:rFonts w:ascii="Times New Roman" w:hAnsi="Times New Roman" w:cs="Times New Roman"/>
          <w:bCs/>
        </w:rPr>
      </w:pPr>
      <w:r w:rsidRPr="00D458EF">
        <w:rPr>
          <w:rFonts w:ascii="Times New Roman" w:hAnsi="Times New Roman" w:cs="Times New Roman"/>
          <w:bCs/>
        </w:rPr>
        <w:t xml:space="preserve">Explanation of </w:t>
      </w:r>
      <w:r w:rsidR="008422C3" w:rsidRPr="00D458EF">
        <w:rPr>
          <w:rFonts w:ascii="Times New Roman" w:hAnsi="Times New Roman" w:cs="Times New Roman"/>
          <w:bCs/>
        </w:rPr>
        <w:t xml:space="preserve">the </w:t>
      </w:r>
      <w:r w:rsidRPr="00D458EF">
        <w:rPr>
          <w:rFonts w:ascii="Times New Roman" w:hAnsi="Times New Roman" w:cs="Times New Roman"/>
          <w:bCs/>
        </w:rPr>
        <w:t>decay equation</w:t>
      </w:r>
    </w:p>
    <w:p w14:paraId="02DCD427" w14:textId="2150FBF8" w:rsidR="00383750" w:rsidRPr="00D458EF" w:rsidRDefault="00005295" w:rsidP="00E142E5">
      <w:pPr>
        <w:pStyle w:val="a3"/>
        <w:spacing w:line="360" w:lineRule="auto"/>
        <w:ind w:leftChars="0" w:left="1440"/>
        <w:jc w:val="both"/>
        <w:rPr>
          <w:rFonts w:ascii="Times New Roman" w:hAnsi="Times New Roman" w:cs="Times New Roman"/>
          <w:bCs/>
        </w:rPr>
      </w:pPr>
      <w:r>
        <w:rPr>
          <w:rFonts w:ascii="Times New Roman" w:hAnsi="Times New Roman" w:cs="Times New Roman"/>
          <w:bCs/>
        </w:rPr>
        <w:tab/>
      </w:r>
      <w:r w:rsidR="00383750" w:rsidRPr="00D458EF">
        <w:rPr>
          <w:rFonts w:ascii="Times New Roman" w:hAnsi="Times New Roman" w:cs="Times New Roman"/>
          <w:bCs/>
        </w:rPr>
        <w:t xml:space="preserve">This coupled framework also regards the memory decay of </w:t>
      </w:r>
      <w:r w:rsidR="002539D6">
        <w:rPr>
          <w:rFonts w:ascii="Times New Roman" w:hAnsi="Times New Roman" w:cs="Times New Roman" w:hint="eastAsia"/>
          <w:bCs/>
        </w:rPr>
        <w:t>T</w:t>
      </w:r>
      <w:r w:rsidR="00383750" w:rsidRPr="00D458EF">
        <w:rPr>
          <w:rFonts w:ascii="Times New Roman" w:hAnsi="Times New Roman" w:cs="Times New Roman"/>
          <w:bCs/>
        </w:rPr>
        <w:t xml:space="preserve">P as a key interaction between psychological conditions and physical flood impacts. </w:t>
      </w:r>
      <w:r w:rsidR="00EE3628" w:rsidRPr="00D458EF">
        <w:rPr>
          <w:rFonts w:ascii="Times New Roman" w:hAnsi="Times New Roman" w:cs="Times New Roman"/>
          <w:bCs/>
        </w:rPr>
        <w:t xml:space="preserve">The formulation is modified to incorporate the </w:t>
      </w:r>
      <w:r w:rsidR="00EE3628" w:rsidRPr="00D458EF">
        <w:rPr>
          <w:rFonts w:ascii="Times New Roman" w:hAnsi="Times New Roman" w:cs="Times New Roman"/>
        </w:rPr>
        <w:t>moderating influence of SC</w:t>
      </w:r>
      <w:r w:rsidR="002539D6">
        <w:rPr>
          <w:rFonts w:ascii="Times New Roman" w:hAnsi="Times New Roman" w:cs="Times New Roman" w:hint="eastAsia"/>
        </w:rPr>
        <w:t xml:space="preserve"> </w:t>
      </w:r>
      <w:r w:rsidR="00EE3628" w:rsidRPr="00D458EF">
        <w:rPr>
          <w:rFonts w:ascii="Times New Roman" w:hAnsi="Times New Roman" w:cs="Times New Roman"/>
        </w:rPr>
        <w:t xml:space="preserve">and </w:t>
      </w:r>
      <w:r w:rsidR="002539D6">
        <w:rPr>
          <w:rFonts w:ascii="Times New Roman" w:hAnsi="Times New Roman" w:cs="Times New Roman" w:hint="eastAsia"/>
        </w:rPr>
        <w:t>P</w:t>
      </w:r>
      <w:r w:rsidR="00EE3628" w:rsidRPr="00D458EF">
        <w:rPr>
          <w:rFonts w:ascii="Times New Roman" w:hAnsi="Times New Roman" w:cs="Times New Roman"/>
        </w:rPr>
        <w:t>A</w:t>
      </w:r>
      <w:r w:rsidR="00EE3628" w:rsidRPr="00D458EF">
        <w:rPr>
          <w:rFonts w:ascii="Times New Roman" w:hAnsi="Times New Roman" w:cs="Times New Roman"/>
          <w:bCs/>
        </w:rPr>
        <w:t xml:space="preserve"> across different communities. </w:t>
      </w:r>
      <w:r w:rsidR="002539D6">
        <w:rPr>
          <w:rFonts w:ascii="Times New Roman" w:hAnsi="Times New Roman" w:cs="Times New Roman" w:hint="eastAsia"/>
          <w:bCs/>
        </w:rPr>
        <w:t>S</w:t>
      </w:r>
      <w:r w:rsidR="00572D7F">
        <w:rPr>
          <w:rFonts w:ascii="Times New Roman" w:hAnsi="Times New Roman" w:cs="Times New Roman" w:hint="eastAsia"/>
          <w:bCs/>
        </w:rPr>
        <w:t>C</w:t>
      </w:r>
      <w:r w:rsidR="00EE3628" w:rsidRPr="00D458EF">
        <w:rPr>
          <w:rFonts w:ascii="Times New Roman" w:hAnsi="Times New Roman" w:cs="Times New Roman"/>
          <w:bCs/>
        </w:rPr>
        <w:t xml:space="preserve"> reflects the degree of trust, cooperation, and information exchange within a community, whereas </w:t>
      </w:r>
      <w:r w:rsidR="002539D6">
        <w:rPr>
          <w:rFonts w:ascii="Times New Roman" w:hAnsi="Times New Roman" w:cs="Times New Roman" w:hint="eastAsia"/>
          <w:bCs/>
        </w:rPr>
        <w:t>PA</w:t>
      </w:r>
      <w:r w:rsidR="00EE3628" w:rsidRPr="00D458EF">
        <w:rPr>
          <w:rFonts w:ascii="Times New Roman" w:hAnsi="Times New Roman" w:cs="Times New Roman"/>
          <w:bCs/>
        </w:rPr>
        <w:t xml:space="preserve"> represents the emotional and identity-based connection residents have with their living environment. Empirical analysis of survey data indicates that</w:t>
      </w:r>
      <w:r w:rsidR="00EE3628" w:rsidRPr="00D458EF">
        <w:rPr>
          <w:rFonts w:ascii="Times New Roman" w:hAnsi="Times New Roman" w:cs="Times New Roman"/>
        </w:rPr>
        <w:t xml:space="preserve"> PA is positively correlated with TP</w:t>
      </w:r>
      <w:r w:rsidR="009B1ED8" w:rsidRPr="00D458EF">
        <w:rPr>
          <w:rFonts w:ascii="Times New Roman" w:hAnsi="Times New Roman" w:cs="Times New Roman"/>
        </w:rPr>
        <w:t xml:space="preserve"> </w:t>
      </w:r>
      <w:r w:rsidR="009B1ED8" w:rsidRPr="00D458EF">
        <w:rPr>
          <w:rFonts w:ascii="Times New Roman" w:hAnsi="Times New Roman" w:cs="Times New Roman"/>
        </w:rPr>
        <w:fldChar w:fldCharType="begin"/>
      </w:r>
      <w:r w:rsidR="00BA437D" w:rsidRPr="00D458EF">
        <w:rPr>
          <w:rFonts w:ascii="Times New Roman" w:hAnsi="Times New Roman" w:cs="Times New Roman"/>
        </w:rPr>
        <w:instrText xml:space="preserve"> ADDIN ZOTERO_ITEM CSL_CITATION {"citationID":"kKGHoRuU","properties":{"formattedCitation":"(Holley et al., 2022)","plainCitation":"(Holley et al., 2022)","noteIndex":0},"citationItems":[{"id":30,"uris":["http://zotero.org/users/14772686/items/W3IJLZM8"],"itemData":{"id":30,"type":"article-journal","abstract":"Drawing from protection motivation theory (PMT), we examined how place attachment and negative emotions, alongside threat and coping appraisals, personal experiences, and demographic characteristics, relate to behavioral intentions to mitigate exposure to flood risks in southern Louisiana. We administered a statewide, representative telephone survey to 807 Louisiana residents, oversampling residents living in southern and coastal parishes particularly vulnerable to flood risk. While the results showed no difference depending on participants’ location in the state, there were strong effects of coping appraisals on individuals’ intentions to mitigate their exposure to flood risk, consistent with prior PMT findings. The addition of place attachment to standard PMT variables revealed a nuanced relationship with behavioral intentions. Results show that participants’ place attachment decreased the effects of threat and coping appraisals on some behavioral intentions, such as moving out of the state, while posing no significant effect of threat and coping appraisals on other intentions, such as supporting flood risk mitigation policies. Feeling negative emotions increased the likelihood of participants’ indicating a willingness to move or elevate their home, among other actions. While this study supports the consistency of threat and coping appraisals to predict discrete behavioral intentions, the results also provide insight that may be critical for risk communication initiatives in Louisiana. Namely, individuals with high levels of place attachment may be less willing to leave their community but more willing to engage in behaviors that enhance community resilience, although the more negative emotions they feel, the more willing they may be to take more drastic measures.","container-title":"Natural Hazards","DOI":"10.1007/s11069-022-05316-9","ISSN":"1573-0840","issue":"1","journalAbbreviation":"Nat Hazards","language":"en","page":"615-640","source":"Springer Link","title":"Responding to flood risk in Louisiana: the roles of place attachment, emotions, and location","title-short":"Responding to flood risk in Louisiana","volume":"113","author":[{"family":"Holley","given":"Jason R."},{"family":"McComas","given":"Katherine A."},{"family":"Lambert","given":"Catherine E."},{"family":"Snider","given":"Natalie P."},{"family":"Tucker","given":"Grace K."}],"issued":{"date-parts":[["2022",8,1]]}}}],"schema":"https://github.com/citation-style-language/schema/raw/master/csl-citation.json"} </w:instrText>
      </w:r>
      <w:r w:rsidR="009B1ED8" w:rsidRPr="00D458EF">
        <w:rPr>
          <w:rFonts w:ascii="Times New Roman" w:hAnsi="Times New Roman" w:cs="Times New Roman"/>
        </w:rPr>
        <w:fldChar w:fldCharType="separate"/>
      </w:r>
      <w:r w:rsidR="009B1ED8" w:rsidRPr="00D458EF">
        <w:rPr>
          <w:rFonts w:ascii="Times New Roman" w:hAnsi="Times New Roman" w:cs="Times New Roman"/>
        </w:rPr>
        <w:t>(Holley et al., 2022)</w:t>
      </w:r>
      <w:r w:rsidR="009B1ED8" w:rsidRPr="00D458EF">
        <w:rPr>
          <w:rFonts w:ascii="Times New Roman" w:hAnsi="Times New Roman" w:cs="Times New Roman"/>
        </w:rPr>
        <w:fldChar w:fldCharType="end"/>
      </w:r>
      <w:r w:rsidR="00967629" w:rsidRPr="00D458EF">
        <w:rPr>
          <w:rFonts w:ascii="Times New Roman" w:hAnsi="Times New Roman" w:cs="Times New Roman"/>
          <w:bCs/>
        </w:rPr>
        <w:t>.</w:t>
      </w:r>
      <w:r w:rsidR="00EE3628" w:rsidRPr="00D458EF">
        <w:rPr>
          <w:rFonts w:ascii="Times New Roman" w:hAnsi="Times New Roman" w:cs="Times New Roman"/>
          <w:bCs/>
        </w:rPr>
        <w:t xml:space="preserve"> </w:t>
      </w:r>
      <w:r w:rsidR="00967629" w:rsidRPr="00D458EF">
        <w:rPr>
          <w:rFonts w:ascii="Times New Roman" w:hAnsi="Times New Roman" w:cs="Times New Roman"/>
          <w:bCs/>
        </w:rPr>
        <w:t>C</w:t>
      </w:r>
      <w:r w:rsidR="00EE3628" w:rsidRPr="00D458EF">
        <w:rPr>
          <w:rFonts w:ascii="Times New Roman" w:hAnsi="Times New Roman" w:cs="Times New Roman"/>
          <w:bCs/>
        </w:rPr>
        <w:t xml:space="preserve">ommunities with stronger attachment tend to sustain higher perceived threat after floods, </w:t>
      </w:r>
      <w:r w:rsidR="00D66359" w:rsidRPr="00D458EF">
        <w:rPr>
          <w:rFonts w:ascii="Times New Roman" w:hAnsi="Times New Roman" w:cs="Times New Roman"/>
          <w:bCs/>
        </w:rPr>
        <w:t>whereas</w:t>
      </w:r>
      <w:r w:rsidR="00EE3628" w:rsidRPr="00D458EF">
        <w:rPr>
          <w:rFonts w:ascii="Times New Roman" w:hAnsi="Times New Roman" w:cs="Times New Roman"/>
          <w:bCs/>
        </w:rPr>
        <w:t xml:space="preserve"> </w:t>
      </w:r>
      <w:r w:rsidR="00EE3628" w:rsidRPr="00D458EF">
        <w:rPr>
          <w:rFonts w:ascii="Times New Roman" w:hAnsi="Times New Roman" w:cs="Times New Roman"/>
        </w:rPr>
        <w:t xml:space="preserve">SC shows a negative </w:t>
      </w:r>
      <w:r w:rsidR="009D5A78" w:rsidRPr="00D458EF">
        <w:rPr>
          <w:rFonts w:ascii="Times New Roman" w:hAnsi="Times New Roman" w:cs="Times New Roman"/>
        </w:rPr>
        <w:t>impact</w:t>
      </w:r>
      <w:r w:rsidR="00EE3628" w:rsidRPr="00D458EF">
        <w:rPr>
          <w:rFonts w:ascii="Times New Roman" w:hAnsi="Times New Roman" w:cs="Times New Roman"/>
          <w:bCs/>
        </w:rPr>
        <w:t>, as strong networks may reduce perceived risk through collective coping and shared recovery capacity</w:t>
      </w:r>
      <w:r w:rsidR="00F20767" w:rsidRPr="00D458EF">
        <w:rPr>
          <w:rFonts w:ascii="Times New Roman" w:hAnsi="Times New Roman" w:cs="Times New Roman"/>
          <w:bCs/>
        </w:rPr>
        <w:t xml:space="preserve"> </w:t>
      </w:r>
      <w:r w:rsidR="00F20767" w:rsidRPr="00D458EF">
        <w:rPr>
          <w:rFonts w:ascii="Times New Roman" w:hAnsi="Times New Roman" w:cs="Times New Roman"/>
          <w:bCs/>
        </w:rPr>
        <w:fldChar w:fldCharType="begin"/>
      </w:r>
      <w:r w:rsidR="00D60DBA">
        <w:rPr>
          <w:rFonts w:ascii="Times New Roman" w:hAnsi="Times New Roman" w:cs="Times New Roman"/>
          <w:bCs/>
        </w:rPr>
        <w:instrText xml:space="preserve"> ADDIN ZOTERO_ITEM CSL_CITATION {"citationID":"SY0KVNmO","properties":{"formattedCitation":"(Hudson et al., 2020)","plainCitation":"(Hudson et al., 2020)","noteIndex":0},"citationItems":[{"id":"NkoeHmjM/G28INYHf","uris":["http://zotero.org/users/14772686/items/SVYULYG3"],"itemData":{"id":9,"type":"article-journal","abstract":"A growing focus is being placed on both individuals and communities to adapt to flooding as part of the Sendai Framework for Disaster Risk Reduction 2015–2030. Adaptation to flooding requires sufficient social capital (linkages between members of society), risk perceptions (understanding of risk), and self-efficacy (self-perceived ability to limit disaster impacts) to be effective. However, there is limited understanding of how social capital, risk perceptions, and self-efficacy interact. We seek to explore how social capital interacts with variables known to increase the likelihood of successful adaptation. To study these linkages we analyze survey data of 1010 respondents across two communities in Thua Tien-Hue Province in central Vietnam, using ordered probit models. We find positive correlations between social capital, risk perceptions, and self-efficacy overall. This is a partly contrary finding to what was found in previous studies linking these concepts in Europe, which may be a result from the difference in risk context. The absence of an overall negative exchange between these factors has positive implications for proactive flood risk adaptation.","container-title":"International Journal of Disaster Risk Science","DOI":"10.1007/s13753-020-00259-w","ISSN":"2192-6395","issue":"3","journalAbbreviation":"Int J Disaster Risk Sci","language":"en","page":"251-262","source":"Springer Link","title":"Potential Linkages Between Social Capital, Flood Risk Perceptions, and Self-Efficacy","volume":"11","author":[{"family":"Hudson","given":"Paul"},{"family":"Hagedoorn","given":"Liselotte"},{"family":"Bubeck","given":"Philip"}],"issued":{"date-parts":[["2020",6,1]]}}}],"schema":"https://github.com/citation-style-language/schema/raw/master/csl-citation.json"} </w:instrText>
      </w:r>
      <w:r w:rsidR="00F20767" w:rsidRPr="00D458EF">
        <w:rPr>
          <w:rFonts w:ascii="Times New Roman" w:hAnsi="Times New Roman" w:cs="Times New Roman"/>
          <w:bCs/>
        </w:rPr>
        <w:fldChar w:fldCharType="separate"/>
      </w:r>
      <w:r w:rsidR="00F13945" w:rsidRPr="00D458EF">
        <w:rPr>
          <w:rFonts w:ascii="Times New Roman" w:hAnsi="Times New Roman" w:cs="Times New Roman"/>
        </w:rPr>
        <w:t>(Hudson et al., 2020)</w:t>
      </w:r>
      <w:r w:rsidR="00F20767" w:rsidRPr="00D458EF">
        <w:rPr>
          <w:rFonts w:ascii="Times New Roman" w:hAnsi="Times New Roman" w:cs="Times New Roman"/>
          <w:bCs/>
        </w:rPr>
        <w:fldChar w:fldCharType="end"/>
      </w:r>
      <w:r w:rsidR="00EE3628" w:rsidRPr="00D458EF">
        <w:rPr>
          <w:rFonts w:ascii="Times New Roman" w:hAnsi="Times New Roman" w:cs="Times New Roman"/>
          <w:bCs/>
        </w:rPr>
        <w:t>.</w:t>
      </w:r>
      <w:r w:rsidR="00F251D6">
        <w:rPr>
          <w:rFonts w:ascii="Times New Roman" w:hAnsi="Times New Roman" w:cs="Times New Roman" w:hint="eastAsia"/>
          <w:bCs/>
        </w:rPr>
        <w:t xml:space="preserve"> </w:t>
      </w:r>
      <w:r w:rsidR="00383750" w:rsidRPr="00D458EF">
        <w:rPr>
          <w:rFonts w:ascii="Times New Roman" w:hAnsi="Times New Roman" w:cs="Times New Roman"/>
          <w:bCs/>
        </w:rPr>
        <w:t xml:space="preserve">The </w:t>
      </w:r>
      <w:r w:rsidR="00EE56AA">
        <w:rPr>
          <w:rFonts w:ascii="Times New Roman" w:hAnsi="Times New Roman" w:cs="Times New Roman" w:hint="eastAsia"/>
          <w:bCs/>
        </w:rPr>
        <w:t>rate</w:t>
      </w:r>
      <w:r w:rsidR="004340C2">
        <w:rPr>
          <w:rFonts w:ascii="Times New Roman" w:hAnsi="Times New Roman" w:cs="Times New Roman" w:hint="eastAsia"/>
          <w:bCs/>
        </w:rPr>
        <w:t xml:space="preserve"> </w:t>
      </w:r>
      <w:r w:rsidR="00EE56AA">
        <w:rPr>
          <w:rFonts w:ascii="Times New Roman" w:hAnsi="Times New Roman" w:cs="Times New Roman" w:hint="eastAsia"/>
          <w:bCs/>
        </w:rPr>
        <w:t>of</w:t>
      </w:r>
      <w:r w:rsidR="00383750" w:rsidRPr="00D458EF">
        <w:rPr>
          <w:rFonts w:ascii="Times New Roman" w:hAnsi="Times New Roman" w:cs="Times New Roman"/>
          <w:bCs/>
        </w:rPr>
        <w:t xml:space="preserve"> </w:t>
      </w:r>
      <w:r w:rsidR="00EE56AA">
        <w:rPr>
          <w:rFonts w:ascii="Times New Roman" w:hAnsi="Times New Roman" w:cs="Times New Roman" w:hint="eastAsia"/>
          <w:bCs/>
        </w:rPr>
        <w:t xml:space="preserve">change in </w:t>
      </w:r>
      <w:r w:rsidR="00383750" w:rsidRPr="00D458EF">
        <w:rPr>
          <w:rFonts w:ascii="Times New Roman" w:hAnsi="Times New Roman" w:cs="Times New Roman"/>
          <w:bCs/>
        </w:rPr>
        <w:t>TP is expressed as:</w:t>
      </w:r>
    </w:p>
    <w:tbl>
      <w:tblPr>
        <w:tblStyle w:val="aa"/>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7211"/>
        <w:gridCol w:w="473"/>
      </w:tblGrid>
      <w:tr w:rsidR="008B1B6B" w:rsidRPr="00D458EF" w14:paraId="4414D969" w14:textId="77777777" w:rsidTr="00807039">
        <w:tc>
          <w:tcPr>
            <w:tcW w:w="236" w:type="dxa"/>
          </w:tcPr>
          <w:p w14:paraId="30F66AC1" w14:textId="77777777" w:rsidR="008B1B6B" w:rsidRPr="00D458EF" w:rsidRDefault="008B1B6B" w:rsidP="005B487C">
            <w:pPr>
              <w:pStyle w:val="a3"/>
              <w:spacing w:line="360" w:lineRule="auto"/>
              <w:ind w:leftChars="0" w:left="0"/>
              <w:rPr>
                <w:rFonts w:ascii="Times New Roman" w:hAnsi="Times New Roman" w:cs="Times New Roman"/>
                <w:bCs/>
              </w:rPr>
            </w:pPr>
          </w:p>
        </w:tc>
        <w:tc>
          <w:tcPr>
            <w:tcW w:w="7396" w:type="dxa"/>
          </w:tcPr>
          <w:p w14:paraId="786A336B" w14:textId="3B9BC62A" w:rsidR="008B1B6B" w:rsidRPr="00D458EF" w:rsidRDefault="00271330" w:rsidP="00E142E5">
            <w:pPr>
              <w:pStyle w:val="a3"/>
              <w:spacing w:line="360" w:lineRule="auto"/>
              <w:ind w:leftChars="0" w:left="58"/>
              <w:jc w:val="center"/>
              <w:rPr>
                <w:rFonts w:ascii="Times New Roman" w:hAnsi="Times New Roman" w:cs="Times New Roman"/>
                <w:bCs/>
              </w:rPr>
            </w:pPr>
            <m:oMath>
              <m:f>
                <m:fPr>
                  <m:ctrlPr>
                    <w:rPr>
                      <w:rFonts w:ascii="Cambria Math" w:hAnsi="Cambria Math" w:cstheme="minorBidi"/>
                      <w:i/>
                      <w:kern w:val="24"/>
                      <w:lang w:bidi="ar-AE"/>
                    </w:rPr>
                  </m:ctrlPr>
                </m:fPr>
                <m:num>
                  <m:r>
                    <w:rPr>
                      <w:rFonts w:ascii="Cambria Math" w:hAnsi="Cambria Math" w:cstheme="minorBidi"/>
                      <w:kern w:val="24"/>
                      <w:lang w:bidi="ar-AE"/>
                    </w:rPr>
                    <m:t>d</m:t>
                  </m:r>
                  <m:sSub>
                    <m:sSubPr>
                      <m:ctrlPr>
                        <w:rPr>
                          <w:rFonts w:ascii="Cambria Math" w:hAnsi="Cambria Math" w:cstheme="minorBidi"/>
                          <w:i/>
                          <w:kern w:val="24"/>
                          <w:lang w:bidi="ar-AE"/>
                        </w:rPr>
                      </m:ctrlPr>
                    </m:sSubPr>
                    <m:e>
                      <m:r>
                        <w:rPr>
                          <w:rFonts w:ascii="Cambria Math" w:hAnsi="Cambria Math" w:cstheme="minorBidi"/>
                          <w:kern w:val="24"/>
                          <w:lang w:bidi="ar-AE"/>
                        </w:rPr>
                        <m:t>TP</m:t>
                      </m:r>
                    </m:e>
                    <m:sub>
                      <m:r>
                        <w:rPr>
                          <w:rFonts w:ascii="Cambria Math" w:hAnsi="Cambria Math" w:cstheme="minorBidi"/>
                          <w:kern w:val="24"/>
                          <w:lang w:bidi="ar-AE"/>
                        </w:rPr>
                        <m:t>i</m:t>
                      </m:r>
                    </m:sub>
                  </m:sSub>
                </m:num>
                <m:den>
                  <m:r>
                    <w:rPr>
                      <w:rFonts w:ascii="Cambria Math" w:hAnsi="Cambria Math" w:cstheme="minorBidi"/>
                      <w:kern w:val="24"/>
                      <w:lang w:bidi="ar-AE"/>
                    </w:rPr>
                    <m:t>dt</m:t>
                  </m:r>
                </m:den>
              </m:f>
              <m:r>
                <w:rPr>
                  <w:rFonts w:ascii="Cambria Math" w:hAnsi="Cambria Math" w:cs="Times New Roman"/>
                  <w:kern w:val="24"/>
                  <w:rtl/>
                  <w:lang w:bidi="ar-AE"/>
                </w:rPr>
                <m:t>=</m:t>
              </m:r>
              <m:r>
                <w:rPr>
                  <w:rFonts w:ascii="Cambria Math" w:hAnsi="Cambria Math" w:cstheme="minorBidi"/>
                  <w:kern w:val="24"/>
                  <w:lang w:val="el-GR" w:bidi="ar-AE"/>
                </w:rPr>
                <m:t>Δ</m:t>
              </m:r>
              <m:d>
                <m:dPr>
                  <m:ctrlPr>
                    <w:rPr>
                      <w:rFonts w:ascii="Cambria Math" w:hAnsi="Cambria Math" w:cstheme="minorBidi"/>
                      <w:i/>
                      <w:kern w:val="24"/>
                      <w:lang w:bidi="ar-AE"/>
                    </w:rPr>
                  </m:ctrlPr>
                </m:dPr>
                <m:e>
                  <m:r>
                    <w:rPr>
                      <w:rFonts w:ascii="Cambria Math" w:hAnsi="Cambria Math" w:cstheme="minorBidi"/>
                      <w:kern w:val="24"/>
                      <w:lang w:bidi="ar-AE"/>
                    </w:rPr>
                    <m:t>ψ</m:t>
                  </m:r>
                  <m:d>
                    <m:dPr>
                      <m:ctrlPr>
                        <w:rPr>
                          <w:rFonts w:ascii="Cambria Math" w:hAnsi="Cambria Math" w:cstheme="minorBidi"/>
                          <w:i/>
                          <w:kern w:val="24"/>
                          <w:lang w:bidi="ar-AE"/>
                        </w:rPr>
                      </m:ctrlPr>
                    </m:dPr>
                    <m:e>
                      <m:r>
                        <w:rPr>
                          <w:rFonts w:ascii="Cambria Math" w:hAnsi="Cambria Math" w:cstheme="minorBidi"/>
                          <w:kern w:val="24"/>
                          <w:lang w:bidi="ar-AE"/>
                        </w:rPr>
                        <m:t>t</m:t>
                      </m:r>
                    </m:e>
                  </m:d>
                </m:e>
              </m:d>
              <m:r>
                <w:rPr>
                  <w:rFonts w:ascii="Cambria Math" w:hAnsi="Cambria Math" w:cs="Cambria Math" w:hint="cs"/>
                  <w:kern w:val="24"/>
                  <w:rtl/>
                  <w:lang w:bidi="ar-AE"/>
                </w:rPr>
                <m:t>⋅</m:t>
              </m:r>
              <m:f>
                <m:fPr>
                  <m:ctrlPr>
                    <w:rPr>
                      <w:rFonts w:ascii="Cambria Math" w:hAnsi="Cambria Math" w:cstheme="minorBidi"/>
                      <w:i/>
                      <w:kern w:val="24"/>
                      <w:lang w:bidi="ar-AE"/>
                    </w:rPr>
                  </m:ctrlPr>
                </m:fPr>
                <m:num>
                  <m:sSub>
                    <m:sSubPr>
                      <m:ctrlPr>
                        <w:rPr>
                          <w:rFonts w:ascii="Cambria Math" w:hAnsi="Cambria Math" w:cstheme="minorBidi"/>
                          <w:i/>
                          <w:kern w:val="24"/>
                          <w:lang w:bidi="ar-AE"/>
                        </w:rPr>
                      </m:ctrlPr>
                    </m:sSubPr>
                    <m:e>
                      <m:r>
                        <w:rPr>
                          <w:rFonts w:ascii="Cambria Math" w:hAnsi="Cambria Math" w:cstheme="minorBidi"/>
                          <w:kern w:val="24"/>
                          <w:lang w:bidi="ar-AE"/>
                        </w:rPr>
                        <m:t>G</m:t>
                      </m:r>
                    </m:e>
                    <m:sub>
                      <m:r>
                        <w:rPr>
                          <w:rFonts w:ascii="Cambria Math" w:hAnsi="Cambria Math" w:cstheme="minorBidi"/>
                          <w:kern w:val="24"/>
                          <w:lang w:bidi="ar-AE"/>
                        </w:rPr>
                        <m:t>i</m:t>
                      </m:r>
                    </m:sub>
                  </m:sSub>
                </m:num>
                <m:den>
                  <m:r>
                    <w:rPr>
                      <w:rFonts w:ascii="Cambria Math" w:hAnsi="Cambria Math" w:cstheme="minorBidi"/>
                      <w:kern w:val="24"/>
                      <w:lang w:bidi="ar-AE"/>
                    </w:rPr>
                    <m:t>RC</m:t>
                  </m:r>
                  <m:sSub>
                    <m:sSubPr>
                      <m:ctrlPr>
                        <w:rPr>
                          <w:rFonts w:ascii="Cambria Math" w:hAnsi="Cambria Math" w:cstheme="minorBidi"/>
                          <w:i/>
                          <w:kern w:val="24"/>
                          <w:lang w:bidi="ar-AE"/>
                        </w:rPr>
                      </m:ctrlPr>
                    </m:sSubPr>
                    <m:e>
                      <m:r>
                        <w:rPr>
                          <w:rFonts w:ascii="Cambria Math" w:hAnsi="Cambria Math" w:cstheme="minorBidi"/>
                          <w:kern w:val="24"/>
                          <w:lang w:bidi="ar-AE"/>
                        </w:rPr>
                        <m:t>V</m:t>
                      </m:r>
                    </m:e>
                    <m:sub>
                      <m:r>
                        <w:rPr>
                          <w:rFonts w:ascii="Cambria Math" w:hAnsi="Cambria Math" w:cstheme="minorBidi"/>
                          <w:kern w:val="24"/>
                          <w:lang w:bidi="ar-AE"/>
                        </w:rPr>
                        <m:t>i</m:t>
                      </m:r>
                    </m:sub>
                  </m:sSub>
                </m:den>
              </m:f>
              <m:r>
                <w:rPr>
                  <w:rFonts w:ascii="Cambria Math" w:hAnsi="Cambria Math" w:cs="Cambria Math" w:hint="cs"/>
                  <w:kern w:val="24"/>
                  <w:rtl/>
                  <w:lang w:bidi="ar-AE"/>
                </w:rPr>
                <m:t>⋅</m:t>
              </m:r>
              <m:sSub>
                <m:sSubPr>
                  <m:ctrlPr>
                    <w:rPr>
                      <w:rFonts w:ascii="Cambria Math" w:eastAsia="新細明體" w:hAnsi="Cambria Math" w:cs="新細明體"/>
                      <w:i/>
                      <w:kern w:val="24"/>
                      <w:lang w:bidi="ar-AE"/>
                    </w:rPr>
                  </m:ctrlPr>
                </m:sSubPr>
                <m:e>
                  <m:r>
                    <w:rPr>
                      <w:rFonts w:ascii="Cambria Math" w:eastAsia="新細明體" w:hAnsi="Cambria Math" w:cs="新細明體"/>
                      <w:kern w:val="24"/>
                      <w:lang w:bidi="ar-AE"/>
                    </w:rPr>
                    <m:t>c</m:t>
                  </m:r>
                </m:e>
                <m:sub>
                  <m:r>
                    <w:rPr>
                      <w:rFonts w:ascii="Cambria Math" w:eastAsia="新細明體" w:hAnsi="Cambria Math" w:cs="新細明體"/>
                      <w:kern w:val="24"/>
                      <w:lang w:bidi="ar-AE"/>
                    </w:rPr>
                    <m:t>s</m:t>
                  </m:r>
                </m:sub>
              </m:sSub>
              <m:r>
                <w:rPr>
                  <w:rFonts w:ascii="Cambria Math" w:hAnsi="Cambria Math" w:cs="Times New Roman"/>
                  <w:kern w:val="24"/>
                  <w:rtl/>
                  <w:lang w:bidi="ar-AE"/>
                </w:rPr>
                <m:t>-</m:t>
              </m:r>
              <m:r>
                <w:rPr>
                  <w:rFonts w:ascii="Cambria Math" w:hAnsi="Cambria Math" w:cstheme="minorBidi"/>
                  <w:kern w:val="24"/>
                  <w:lang w:bidi="ar-AE"/>
                </w:rPr>
                <m:t>μ</m:t>
              </m:r>
              <m:sSub>
                <m:sSubPr>
                  <m:ctrlPr>
                    <w:rPr>
                      <w:rFonts w:ascii="Cambria Math" w:hAnsi="Cambria Math" w:cstheme="minorBidi"/>
                      <w:i/>
                      <w:kern w:val="24"/>
                      <w:lang w:bidi="ar-AE"/>
                    </w:rPr>
                  </m:ctrlPr>
                </m:sSubPr>
                <m:e>
                  <m:r>
                    <w:rPr>
                      <w:rFonts w:ascii="Cambria Math" w:hAnsi="Cambria Math" w:cstheme="minorBidi"/>
                      <w:kern w:val="24"/>
                      <w:lang w:bidi="ar-AE"/>
                    </w:rPr>
                    <m:t>TP</m:t>
                  </m:r>
                </m:e>
                <m:sub>
                  <m:r>
                    <w:rPr>
                      <w:rFonts w:ascii="Cambria Math" w:hAnsi="Cambria Math" w:cstheme="minorBidi"/>
                      <w:kern w:val="24"/>
                      <w:lang w:bidi="ar-AE"/>
                    </w:rPr>
                    <m:t>i</m:t>
                  </m:r>
                </m:sub>
              </m:sSub>
            </m:oMath>
            <w:r w:rsidR="008B1B6B" w:rsidRPr="00D458EF">
              <w:rPr>
                <w:rFonts w:ascii="Times New Roman" w:hAnsi="Times New Roman" w:cs="Times New Roman"/>
                <w:i/>
                <w:iCs/>
                <w:kern w:val="24"/>
                <w:rtl/>
                <w:lang w:bidi="ar-AE"/>
              </w:rPr>
              <w:t>.</w:t>
            </w:r>
          </w:p>
        </w:tc>
        <w:tc>
          <w:tcPr>
            <w:tcW w:w="288" w:type="dxa"/>
            <w:vAlign w:val="center"/>
          </w:tcPr>
          <w:p w14:paraId="1D4390C0" w14:textId="390A9101" w:rsidR="008B1B6B" w:rsidRPr="00D458EF" w:rsidRDefault="00807039" w:rsidP="00E142E5">
            <w:pPr>
              <w:pStyle w:val="a3"/>
              <w:spacing w:line="360" w:lineRule="auto"/>
              <w:ind w:leftChars="0" w:left="0"/>
              <w:jc w:val="right"/>
              <w:rPr>
                <w:rFonts w:ascii="Times New Roman" w:hAnsi="Times New Roman" w:cs="Times New Roman"/>
                <w:bCs/>
              </w:rPr>
            </w:pPr>
            <w:r>
              <w:rPr>
                <w:rFonts w:ascii="Times New Roman" w:hAnsi="Times New Roman" w:cs="Times New Roman" w:hint="eastAsia"/>
                <w:bCs/>
              </w:rPr>
              <w:t>(2)</w:t>
            </w:r>
          </w:p>
        </w:tc>
      </w:tr>
    </w:tbl>
    <w:p w14:paraId="2484BF46" w14:textId="3A0FECFC" w:rsidR="008B1B6B" w:rsidRPr="00D458EF" w:rsidRDefault="007363C1" w:rsidP="001C40CF">
      <w:pPr>
        <w:pStyle w:val="a3"/>
        <w:spacing w:line="360" w:lineRule="auto"/>
        <w:ind w:leftChars="0" w:left="1440"/>
        <w:jc w:val="both"/>
        <w:rPr>
          <w:rFonts w:ascii="Times New Roman" w:hAnsi="Times New Roman" w:cs="Times New Roman"/>
          <w:bCs/>
        </w:rPr>
      </w:pPr>
      <w:r w:rsidRPr="00D458EF">
        <w:rPr>
          <w:rFonts w:ascii="Times New Roman" w:hAnsi="Times New Roman" w:cs="Times New Roman"/>
          <w:bCs/>
        </w:rPr>
        <w:t xml:space="preserve">where </w:t>
      </w:r>
      <m:oMath>
        <m:sSub>
          <m:sSubPr>
            <m:ctrlPr>
              <w:rPr>
                <w:rFonts w:ascii="Cambria Math" w:hAnsi="Cambria Math"/>
              </w:rPr>
            </m:ctrlPr>
          </m:sSubPr>
          <m:e>
            <m:r>
              <w:rPr>
                <w:rFonts w:ascii="Cambria Math" w:hAnsi="Cambria Math"/>
              </w:rPr>
              <m:t>G</m:t>
            </m:r>
          </m:e>
          <m:sub>
            <m:r>
              <w:rPr>
                <w:rFonts w:ascii="Cambria Math" w:hAnsi="Cambria Math"/>
              </w:rPr>
              <m:t>i</m:t>
            </m:r>
          </m:sub>
        </m:sSub>
      </m:oMath>
      <w:r w:rsidR="00005295">
        <w:rPr>
          <w:rFonts w:ascii="Times New Roman" w:hAnsi="Times New Roman" w:cs="Times New Roman" w:hint="eastAsia"/>
        </w:rPr>
        <w:t xml:space="preserve"> </w:t>
      </w:r>
      <w:r w:rsidRPr="00D458EF">
        <w:rPr>
          <w:rFonts w:ascii="Times New Roman" w:hAnsi="Times New Roman" w:cs="Times New Roman"/>
          <w:bCs/>
        </w:rPr>
        <w:t xml:space="preserve">represents the total gross loss </w:t>
      </w:r>
      <w:r w:rsidR="001C40CF">
        <w:rPr>
          <w:rFonts w:ascii="Times New Roman" w:hAnsi="Times New Roman" w:cs="Times New Roman" w:hint="eastAsia"/>
          <w:bCs/>
        </w:rPr>
        <w:t>(</w:t>
      </w:r>
      <w:r w:rsidR="001C40CF">
        <w:rPr>
          <w:rFonts w:ascii="Times New Roman" w:hAnsi="Times New Roman" w:cs="Times New Roman"/>
          <w:bCs/>
        </w:rPr>
        <w:t>i.e.</w:t>
      </w:r>
      <w:r w:rsidR="001C40CF">
        <w:rPr>
          <w:rFonts w:ascii="Times New Roman" w:hAnsi="Times New Roman" w:cs="Times New Roman" w:hint="eastAsia"/>
          <w:bCs/>
        </w:rPr>
        <w:t xml:space="preserve">, flood </w:t>
      </w:r>
      <w:r w:rsidR="001C40CF">
        <w:rPr>
          <w:rFonts w:ascii="Times New Roman" w:hAnsi="Times New Roman" w:cs="Times New Roman"/>
          <w:bCs/>
        </w:rPr>
        <w:t>damage</w:t>
      </w:r>
      <w:r w:rsidR="001C40CF">
        <w:rPr>
          <w:rFonts w:ascii="Times New Roman" w:hAnsi="Times New Roman" w:cs="Times New Roman" w:hint="eastAsia"/>
          <w:bCs/>
        </w:rPr>
        <w:t>)</w:t>
      </w:r>
      <w:r w:rsidR="008728C0">
        <w:rPr>
          <w:rFonts w:ascii="Times New Roman" w:hAnsi="Times New Roman" w:cs="Times New Roman" w:hint="eastAsia"/>
          <w:bCs/>
        </w:rPr>
        <w:t xml:space="preserve"> </w:t>
      </w:r>
      <w:r w:rsidRPr="00D458EF">
        <w:rPr>
          <w:rFonts w:ascii="Times New Roman" w:hAnsi="Times New Roman" w:cs="Times New Roman"/>
          <w:bCs/>
        </w:rPr>
        <w:t xml:space="preserve">in tract </w:t>
      </w:r>
      <m:oMath>
        <m:r>
          <w:rPr>
            <w:rFonts w:ascii="Cambria Math" w:hAnsi="Cambria Math" w:cstheme="minorBidi"/>
            <w:kern w:val="24"/>
            <w:lang w:bidi="ar-AE"/>
          </w:rPr>
          <m:t>i</m:t>
        </m:r>
      </m:oMath>
      <w:r w:rsidR="00CD3185" w:rsidRPr="00D458EF">
        <w:rPr>
          <w:rFonts w:ascii="Times New Roman" w:hAnsi="Times New Roman" w:cs="Times New Roman"/>
        </w:rPr>
        <w:t xml:space="preserve"> </w:t>
      </w:r>
      <w:r w:rsidR="00954512">
        <w:rPr>
          <w:rFonts w:ascii="Times New Roman" w:hAnsi="Times New Roman" w:cs="Times New Roman" w:hint="eastAsia"/>
          <w:bCs/>
        </w:rPr>
        <w:t>at</w:t>
      </w:r>
      <w:r w:rsidRPr="00D458EF">
        <w:rPr>
          <w:rFonts w:ascii="Times New Roman" w:hAnsi="Times New Roman" w:cs="Times New Roman"/>
          <w:bCs/>
        </w:rPr>
        <w:t xml:space="preserve"> the previous year, </w:t>
      </w:r>
      <m:oMath>
        <m:r>
          <w:rPr>
            <w:rFonts w:ascii="Cambria Math" w:hAnsi="Cambria Math"/>
          </w:rPr>
          <m:t>RC</m:t>
        </m:r>
        <m:sSub>
          <m:sSubPr>
            <m:ctrlPr>
              <w:rPr>
                <w:rFonts w:ascii="Cambria Math" w:hAnsi="Cambria Math"/>
              </w:rPr>
            </m:ctrlPr>
          </m:sSubPr>
          <m:e>
            <m:r>
              <w:rPr>
                <w:rFonts w:ascii="Cambria Math" w:hAnsi="Cambria Math"/>
              </w:rPr>
              <m:t>V</m:t>
            </m:r>
          </m:e>
          <m:sub>
            <m:r>
              <w:rPr>
                <w:rFonts w:ascii="Cambria Math" w:hAnsi="Cambria Math"/>
              </w:rPr>
              <m:t>i</m:t>
            </m:r>
          </m:sub>
        </m:sSub>
      </m:oMath>
      <w:r w:rsidR="002539D6">
        <w:rPr>
          <w:rFonts w:ascii="Times New Roman" w:hAnsi="Times New Roman" w:cs="Times New Roman" w:hint="eastAsia"/>
        </w:rPr>
        <w:t xml:space="preserve"> </w:t>
      </w:r>
      <w:r w:rsidRPr="00D458EF">
        <w:rPr>
          <w:rFonts w:ascii="Times New Roman" w:hAnsi="Times New Roman" w:cs="Times New Roman"/>
          <w:bCs/>
        </w:rPr>
        <w:t xml:space="preserve">is the total </w:t>
      </w:r>
      <w:r w:rsidR="00954512">
        <w:rPr>
          <w:rFonts w:ascii="Times New Roman" w:hAnsi="Times New Roman" w:cs="Times New Roman" w:hint="eastAsia"/>
          <w:bCs/>
        </w:rPr>
        <w:t>RCV</w:t>
      </w:r>
      <w:r w:rsidRPr="00D458EF">
        <w:rPr>
          <w:rFonts w:ascii="Times New Roman" w:hAnsi="Times New Roman" w:cs="Times New Roman"/>
          <w:bCs/>
        </w:rPr>
        <w:t xml:space="preserve"> </w:t>
      </w:r>
      <w:r w:rsidR="00954512">
        <w:rPr>
          <w:rFonts w:ascii="Times New Roman" w:hAnsi="Times New Roman" w:cs="Times New Roman" w:hint="eastAsia"/>
          <w:bCs/>
        </w:rPr>
        <w:t xml:space="preserve">at tract </w:t>
      </w:r>
      <m:oMath>
        <m:r>
          <w:rPr>
            <w:rFonts w:ascii="Cambria Math" w:hAnsi="Cambria Math" w:cstheme="minorBidi"/>
            <w:kern w:val="24"/>
            <w:lang w:bidi="ar-AE"/>
          </w:rPr>
          <m:t>i</m:t>
        </m:r>
      </m:oMath>
      <w:r w:rsidR="00954512" w:rsidRPr="00D458EF">
        <w:rPr>
          <w:rFonts w:ascii="Times New Roman" w:hAnsi="Times New Roman" w:cs="Times New Roman"/>
        </w:rPr>
        <w:t xml:space="preserve"> </w:t>
      </w:r>
      <w:r w:rsidRPr="00D458EF">
        <w:rPr>
          <w:rFonts w:ascii="Times New Roman" w:hAnsi="Times New Roman" w:cs="Times New Roman"/>
          <w:bCs/>
        </w:rPr>
        <w:t xml:space="preserve">and </w:t>
      </w:r>
      <m:oMath>
        <m:r>
          <m:rPr>
            <m:sty m:val="p"/>
          </m:rPr>
          <w:rPr>
            <w:rFonts w:ascii="Cambria Math" w:hAnsi="Cambria Math"/>
          </w:rPr>
          <m:t>Δ</m:t>
        </m:r>
        <m:d>
          <m:dPr>
            <m:ctrlPr>
              <w:rPr>
                <w:rFonts w:ascii="Cambria Math" w:hAnsi="Cambria Math"/>
                <w:i/>
              </w:rPr>
            </m:ctrlPr>
          </m:dPr>
          <m:e>
            <m:r>
              <w:rPr>
                <w:rFonts w:ascii="Cambria Math" w:hAnsi="Cambria Math"/>
              </w:rPr>
              <m:t>ψ</m:t>
            </m:r>
            <m:d>
              <m:dPr>
                <m:ctrlPr>
                  <w:rPr>
                    <w:rFonts w:ascii="Cambria Math" w:hAnsi="Cambria Math"/>
                    <w:i/>
                  </w:rPr>
                </m:ctrlPr>
              </m:dPr>
              <m:e>
                <m:r>
                  <w:rPr>
                    <w:rFonts w:ascii="Cambria Math" w:hAnsi="Cambria Math"/>
                  </w:rPr>
                  <m:t>t</m:t>
                </m:r>
              </m:e>
            </m:d>
          </m:e>
        </m:d>
      </m:oMath>
      <w:r w:rsidR="00611699">
        <w:rPr>
          <w:rFonts w:ascii="Times New Roman" w:hAnsi="Times New Roman" w:cs="Times New Roman" w:hint="eastAsia"/>
        </w:rPr>
        <w:t xml:space="preserve"> </w:t>
      </w:r>
      <w:r w:rsidRPr="00D458EF">
        <w:rPr>
          <w:rFonts w:ascii="Times New Roman" w:hAnsi="Times New Roman" w:cs="Times New Roman"/>
          <w:bCs/>
        </w:rPr>
        <w:t xml:space="preserve">is an activation function that equals 1 when the loss ratio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RC</m:t>
        </m:r>
        <m:sSub>
          <m:sSubPr>
            <m:ctrlPr>
              <w:rPr>
                <w:rFonts w:ascii="Cambria Math" w:hAnsi="Cambria Math"/>
              </w:rPr>
            </m:ctrlPr>
          </m:sSubPr>
          <m:e>
            <m:r>
              <w:rPr>
                <w:rFonts w:ascii="Cambria Math" w:hAnsi="Cambria Math"/>
              </w:rPr>
              <m:t>V</m:t>
            </m:r>
          </m:e>
          <m:sub>
            <m:r>
              <w:rPr>
                <w:rFonts w:ascii="Cambria Math" w:hAnsi="Cambria Math"/>
              </w:rPr>
              <m:t>t</m:t>
            </m:r>
          </m:sub>
        </m:sSub>
      </m:oMath>
      <w:r w:rsidR="00C2239D" w:rsidRPr="00D458EF">
        <w:rPr>
          <w:rFonts w:ascii="Times New Roman" w:hAnsi="Times New Roman" w:cs="Times New Roman"/>
          <w:bCs/>
        </w:rPr>
        <w:t xml:space="preserve"> </w:t>
      </w:r>
      <w:r w:rsidRPr="00D458EF">
        <w:rPr>
          <w:rFonts w:ascii="Times New Roman" w:hAnsi="Times New Roman" w:cs="Times New Roman"/>
          <w:bCs/>
        </w:rPr>
        <w:t xml:space="preserve">exceeds a threshold </w:t>
      </w:r>
      <m:oMath>
        <m:r>
          <w:rPr>
            <w:rFonts w:ascii="Cambria Math" w:hAnsi="Cambria Math"/>
          </w:rPr>
          <m:t>θ</m:t>
        </m:r>
      </m:oMath>
      <w:r w:rsidRPr="00D458EF">
        <w:rPr>
          <w:rFonts w:ascii="Times New Roman" w:hAnsi="Times New Roman" w:cs="Times New Roman"/>
          <w:bCs/>
        </w:rPr>
        <w:t>, and 0 otherwise</w:t>
      </w:r>
      <w:r w:rsidR="0071703E" w:rsidRPr="00D458EF">
        <w:rPr>
          <w:rFonts w:ascii="Times New Roman" w:hAnsi="Times New Roman" w:cs="Times New Roman"/>
          <w:bCs/>
        </w:rPr>
        <w:t>. The parameter</w:t>
      </w:r>
      <w:r w:rsidR="009104A7" w:rsidRPr="00D458EF">
        <w:rPr>
          <w:rFonts w:ascii="Times New Roman" w:hAnsi="Times New Roman" w:cs="Times New Roman"/>
          <w:bCs/>
        </w:rPr>
        <w:t xml:space="preserve"> </w:t>
      </w:r>
      <m:oMath>
        <m:sSub>
          <m:sSubPr>
            <m:ctrlPr>
              <w:rPr>
                <w:rFonts w:ascii="Cambria Math" w:eastAsia="新細明體" w:hAnsi="Cambria Math" w:cs="新細明體"/>
                <w:i/>
                <w:kern w:val="24"/>
                <w:lang w:bidi="ar-AE"/>
              </w:rPr>
            </m:ctrlPr>
          </m:sSubPr>
          <m:e>
            <m:r>
              <w:rPr>
                <w:rFonts w:ascii="Cambria Math" w:eastAsia="新細明體" w:hAnsi="Cambria Math" w:cs="新細明體"/>
                <w:kern w:val="24"/>
                <w:lang w:bidi="ar-AE"/>
              </w:rPr>
              <m:t>c</m:t>
            </m:r>
          </m:e>
          <m:sub>
            <m:r>
              <w:rPr>
                <w:rFonts w:ascii="Cambria Math" w:eastAsia="新細明體" w:hAnsi="Cambria Math" w:cs="新細明體"/>
                <w:kern w:val="24"/>
                <w:lang w:bidi="ar-AE"/>
              </w:rPr>
              <m:t>s</m:t>
            </m:r>
          </m:sub>
        </m:sSub>
      </m:oMath>
      <w:r w:rsidR="009104A7" w:rsidRPr="00D458EF">
        <w:rPr>
          <w:rFonts w:ascii="Times New Roman" w:hAnsi="Times New Roman" w:cs="Times New Roman"/>
          <w:kern w:val="24"/>
          <w:lang w:bidi="ar-AE"/>
        </w:rPr>
        <w:t xml:space="preserve"> is </w:t>
      </w:r>
      <w:r w:rsidR="0071703E" w:rsidRPr="00D458EF">
        <w:rPr>
          <w:rFonts w:ascii="Times New Roman" w:hAnsi="Times New Roman" w:cs="Times New Roman"/>
          <w:kern w:val="24"/>
          <w:lang w:bidi="ar-AE"/>
        </w:rPr>
        <w:t xml:space="preserve">the </w:t>
      </w:r>
      <w:r w:rsidR="00DB3A91" w:rsidRPr="00D458EF">
        <w:rPr>
          <w:rFonts w:ascii="Times New Roman" w:hAnsi="Times New Roman" w:cs="Times New Roman"/>
          <w:kern w:val="24"/>
          <w:lang w:bidi="ar-AE"/>
        </w:rPr>
        <w:t>shock scale</w:t>
      </w:r>
      <w:r w:rsidR="001A620D" w:rsidRPr="00D458EF">
        <w:rPr>
          <w:rFonts w:ascii="Times New Roman" w:hAnsi="Times New Roman" w:cs="Times New Roman"/>
          <w:kern w:val="24"/>
          <w:lang w:bidi="ar-AE"/>
        </w:rPr>
        <w:t>, controlling the sensitivity of</w:t>
      </w:r>
      <w:r w:rsidR="00F00758">
        <w:rPr>
          <w:rFonts w:ascii="Times New Roman" w:hAnsi="Times New Roman" w:cs="Times New Roman" w:hint="eastAsia"/>
          <w:kern w:val="24"/>
          <w:lang w:bidi="ar-AE"/>
        </w:rPr>
        <w:t xml:space="preserve"> TP</w:t>
      </w:r>
      <w:r w:rsidR="001A620D" w:rsidRPr="00D458EF">
        <w:rPr>
          <w:rFonts w:ascii="Times New Roman" w:hAnsi="Times New Roman" w:cs="Times New Roman"/>
          <w:kern w:val="24"/>
          <w:lang w:bidi="ar-AE"/>
        </w:rPr>
        <w:t xml:space="preserve"> to flood losses</w:t>
      </w:r>
      <w:r w:rsidR="0071703E" w:rsidRPr="00D458EF">
        <w:rPr>
          <w:rFonts w:ascii="Times New Roman" w:hAnsi="Times New Roman" w:cs="Times New Roman"/>
          <w:kern w:val="24"/>
          <w:lang w:bidi="ar-AE"/>
        </w:rPr>
        <w:t>.</w:t>
      </w:r>
      <w:r w:rsidR="00F251D6">
        <w:rPr>
          <w:rFonts w:ascii="Times New Roman" w:hAnsi="Times New Roman" w:cs="Times New Roman" w:hint="eastAsia"/>
          <w:lang w:bidi="ar-AE"/>
        </w:rPr>
        <w:t xml:space="preserve"> </w:t>
      </w:r>
      <w:r w:rsidR="008B1B6B" w:rsidRPr="00D458EF">
        <w:rPr>
          <w:rFonts w:ascii="Times New Roman" w:hAnsi="Times New Roman" w:cs="Times New Roman"/>
          <w:bCs/>
        </w:rPr>
        <w:t>The decay rate is defined as:</w:t>
      </w:r>
    </w:p>
    <w:tbl>
      <w:tblPr>
        <w:tblStyle w:val="aa"/>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
        <w:gridCol w:w="7212"/>
        <w:gridCol w:w="473"/>
      </w:tblGrid>
      <w:tr w:rsidR="008B1B6B" w:rsidRPr="00D458EF" w14:paraId="2E274EB8" w14:textId="77777777" w:rsidTr="00F00758">
        <w:tc>
          <w:tcPr>
            <w:tcW w:w="235" w:type="dxa"/>
          </w:tcPr>
          <w:p w14:paraId="207343BD" w14:textId="77777777" w:rsidR="008B1B6B" w:rsidRPr="00D458EF" w:rsidRDefault="008B1B6B" w:rsidP="005B487C">
            <w:pPr>
              <w:pStyle w:val="a3"/>
              <w:spacing w:line="360" w:lineRule="auto"/>
              <w:ind w:leftChars="0" w:left="0"/>
              <w:rPr>
                <w:rFonts w:ascii="Times New Roman" w:hAnsi="Times New Roman" w:cs="Times New Roman"/>
                <w:bCs/>
              </w:rPr>
            </w:pPr>
          </w:p>
        </w:tc>
        <w:tc>
          <w:tcPr>
            <w:tcW w:w="7212" w:type="dxa"/>
          </w:tcPr>
          <w:p w14:paraId="00FA7F28" w14:textId="3C472DAB" w:rsidR="008B1B6B" w:rsidRPr="00D458EF" w:rsidRDefault="008944C0" w:rsidP="005B487C">
            <w:pPr>
              <w:spacing w:line="360" w:lineRule="auto"/>
              <w:rPr>
                <w:rFonts w:ascii="Times New Roman" w:hAnsi="Times New Roman" w:cs="Times New Roman"/>
                <w:bCs/>
              </w:rPr>
            </w:pPr>
            <m:oMathPara>
              <m:oMathParaPr>
                <m:jc m:val="center"/>
              </m:oMathParaPr>
              <m:oMath>
                <m:r>
                  <w:rPr>
                    <w:rFonts w:ascii="Cambria Math" w:hAnsi="Cambria Math"/>
                    <w:lang w:val="en-US"/>
                  </w:rPr>
                  <m:t>μ=</m:t>
                </m:r>
                <m:f>
                  <m:fPr>
                    <m:ctrlPr>
                      <w:rPr>
                        <w:rFonts w:ascii="Cambria Math" w:hAnsi="Cambria Math"/>
                        <w:lang w:val="en-US"/>
                      </w:rPr>
                    </m:ctrlPr>
                  </m:fPr>
                  <m:num>
                    <m:r>
                      <m:rPr>
                        <m:sty m:val="p"/>
                      </m:rPr>
                      <w:rPr>
                        <w:rFonts w:ascii="Cambria Math" w:hAnsi="Cambria Math"/>
                        <w:lang w:val="en-US"/>
                      </w:rPr>
                      <m:t>ln</m:t>
                    </m:r>
                    <m:r>
                      <w:rPr>
                        <w:rFonts w:ascii="Cambria Math" w:hAnsi="Cambria Math"/>
                        <w:lang w:val="en-US"/>
                      </w:rPr>
                      <m:t>⁡(2)</m:t>
                    </m:r>
                    <m:r>
                      <m:rPr>
                        <m:nor/>
                      </m:rPr>
                      <w:rPr>
                        <w:rFonts w:ascii="Times New Roman" w:hAnsi="Times New Roman" w:cs="Times New Roman"/>
                        <w:bCs/>
                        <w:lang w:val="en-US"/>
                      </w:rPr>
                      <m:t> </m:t>
                    </m:r>
                    <m:r>
                      <w:rPr>
                        <w:rFonts w:ascii="Cambria Math" w:hAnsi="Cambria Math"/>
                        <w:lang w:val="en-US"/>
                      </w:rPr>
                      <m:t>[α</m:t>
                    </m:r>
                    <m:r>
                      <m:rPr>
                        <m:nor/>
                      </m:rPr>
                      <w:rPr>
                        <w:rFonts w:ascii="Times New Roman" w:hAnsi="Times New Roman" w:cs="Times New Roman"/>
                        <w:bCs/>
                        <w:lang w:val="en-US"/>
                      </w:rPr>
                      <m:t> (1-</m:t>
                    </m:r>
                    <m:sSub>
                      <m:sSubPr>
                        <m:ctrlPr>
                          <w:rPr>
                            <w:rFonts w:ascii="Cambria Math" w:hAnsi="Cambria Math" w:cstheme="minorBidi"/>
                            <w:i/>
                            <w:kern w:val="24"/>
                            <w:lang w:bidi="ar-AE"/>
                          </w:rPr>
                        </m:ctrlPr>
                      </m:sSubPr>
                      <m:e>
                        <m:r>
                          <w:rPr>
                            <w:rFonts w:ascii="Cambria Math" w:hAnsi="Cambria Math" w:cstheme="minorBidi"/>
                            <w:kern w:val="24"/>
                            <w:lang w:bidi="ar-AE"/>
                          </w:rPr>
                          <m:t>PA</m:t>
                        </m:r>
                      </m:e>
                      <m:sub>
                        <m:r>
                          <w:rPr>
                            <w:rFonts w:ascii="Cambria Math" w:hAnsi="Cambria Math" w:cstheme="minorBidi"/>
                            <w:kern w:val="24"/>
                            <w:lang w:bidi="ar-AE"/>
                          </w:rPr>
                          <m:t>i</m:t>
                        </m:r>
                      </m:sub>
                    </m:sSub>
                    <m:r>
                      <m:rPr>
                        <m:nor/>
                      </m:rPr>
                      <w:rPr>
                        <w:rFonts w:ascii="Times New Roman" w:hAnsi="Times New Roman" w:cs="Times New Roman"/>
                        <w:bCs/>
                        <w:lang w:val="en-US"/>
                      </w:rPr>
                      <m:t>)</m:t>
                    </m:r>
                    <m:r>
                      <w:rPr>
                        <w:rFonts w:ascii="Cambria Math" w:hAnsi="Cambria Math"/>
                        <w:lang w:val="en-US"/>
                      </w:rPr>
                      <m:t>+β</m:t>
                    </m:r>
                    <m:r>
                      <m:rPr>
                        <m:nor/>
                      </m:rPr>
                      <w:rPr>
                        <w:rFonts w:ascii="Times New Roman" w:hAnsi="Times New Roman" w:cs="Times New Roman"/>
                        <w:bCs/>
                        <w:lang w:val="en-US"/>
                      </w:rPr>
                      <m:t> </m:t>
                    </m:r>
                    <m:sSub>
                      <m:sSubPr>
                        <m:ctrlPr>
                          <w:rPr>
                            <w:rFonts w:ascii="Cambria Math" w:hAnsi="Cambria Math" w:cstheme="minorBidi"/>
                            <w:i/>
                            <w:kern w:val="24"/>
                            <w:lang w:bidi="ar-AE"/>
                          </w:rPr>
                        </m:ctrlPr>
                      </m:sSubPr>
                      <m:e>
                        <m:r>
                          <w:rPr>
                            <w:rFonts w:ascii="Cambria Math" w:hAnsi="Cambria Math" w:cstheme="minorBidi"/>
                            <w:kern w:val="24"/>
                            <w:lang w:bidi="ar-AE"/>
                          </w:rPr>
                          <m:t>SC</m:t>
                        </m:r>
                      </m:e>
                      <m:sub>
                        <m:r>
                          <w:rPr>
                            <w:rFonts w:ascii="Cambria Math" w:hAnsi="Cambria Math" w:cstheme="minorBidi"/>
                            <w:kern w:val="24"/>
                            <w:lang w:bidi="ar-AE"/>
                          </w:rPr>
                          <m:t>i</m:t>
                        </m:r>
                      </m:sub>
                    </m:sSub>
                    <m:r>
                      <w:rPr>
                        <w:rFonts w:ascii="Cambria Math" w:hAnsi="Cambria Math"/>
                        <w:lang w:val="en-US"/>
                      </w:rPr>
                      <m:t>]</m:t>
                    </m:r>
                  </m:num>
                  <m:den>
                    <m:r>
                      <w:rPr>
                        <w:rFonts w:ascii="Cambria Math" w:hAnsi="Cambria Math"/>
                        <w:lang w:val="en-US"/>
                      </w:rPr>
                      <m:t>τ(t)</m:t>
                    </m:r>
                  </m:den>
                </m:f>
              </m:oMath>
            </m:oMathPara>
          </w:p>
        </w:tc>
        <w:tc>
          <w:tcPr>
            <w:tcW w:w="473" w:type="dxa"/>
            <w:vAlign w:val="center"/>
          </w:tcPr>
          <w:p w14:paraId="24ECDEAD" w14:textId="205B091C" w:rsidR="008B1B6B" w:rsidRPr="00D458EF" w:rsidRDefault="00807039" w:rsidP="005B487C">
            <w:pPr>
              <w:pStyle w:val="a3"/>
              <w:spacing w:line="360" w:lineRule="auto"/>
              <w:ind w:leftChars="0" w:left="0"/>
              <w:rPr>
                <w:rFonts w:ascii="Times New Roman" w:hAnsi="Times New Roman" w:cs="Times New Roman"/>
                <w:bCs/>
              </w:rPr>
            </w:pPr>
            <w:r>
              <w:rPr>
                <w:rFonts w:ascii="Times New Roman" w:hAnsi="Times New Roman" w:cs="Times New Roman" w:hint="eastAsia"/>
                <w:bCs/>
              </w:rPr>
              <w:t>(3)</w:t>
            </w:r>
          </w:p>
        </w:tc>
      </w:tr>
    </w:tbl>
    <w:p w14:paraId="0A5651C4" w14:textId="51E69F9E" w:rsidR="008944C0" w:rsidRPr="00F00758" w:rsidRDefault="00F00758" w:rsidP="00F00758">
      <w:pPr>
        <w:pStyle w:val="a3"/>
        <w:spacing w:line="360" w:lineRule="auto"/>
        <w:ind w:leftChars="636" w:left="1399" w:firstLine="40"/>
        <w:jc w:val="both"/>
        <w:rPr>
          <w:rFonts w:ascii="Times New Roman" w:hAnsi="Times New Roman" w:cs="Times New Roman"/>
          <w:bCs/>
          <w:lang w:val="en-US"/>
        </w:rPr>
      </w:pPr>
      <w:r w:rsidRPr="00F00758">
        <w:rPr>
          <w:rFonts w:ascii="Times New Roman" w:hAnsi="Times New Roman" w:cs="Times New Roman"/>
          <w:bCs/>
        </w:rPr>
        <w:t xml:space="preserve">where </w:t>
      </w:r>
      <m:oMath>
        <m:r>
          <w:rPr>
            <w:rFonts w:ascii="Cambria Math" w:hAnsi="Cambria Math" w:cs="Times New Roman"/>
          </w:rPr>
          <m:t>α</m:t>
        </m:r>
      </m:oMath>
      <w:r w:rsidRPr="00F00758">
        <w:rPr>
          <w:rFonts w:ascii="Times New Roman" w:hAnsi="Times New Roman" w:cs="Times New Roman"/>
          <w:bCs/>
        </w:rPr>
        <w:t xml:space="preserve">and </w:t>
      </w:r>
      <m:oMath>
        <m:r>
          <w:rPr>
            <w:rFonts w:ascii="Cambria Math" w:hAnsi="Cambria Math" w:cs="Times New Roman"/>
          </w:rPr>
          <m:t>β</m:t>
        </m:r>
      </m:oMath>
      <w:r w:rsidR="007E14EA">
        <w:rPr>
          <w:rFonts w:ascii="Times New Roman" w:hAnsi="Times New Roman" w:cs="Times New Roman" w:hint="eastAsia"/>
          <w:bCs/>
        </w:rPr>
        <w:t xml:space="preserve"> </w:t>
      </w:r>
      <w:r w:rsidRPr="00F00758">
        <w:rPr>
          <w:rFonts w:ascii="Times New Roman" w:hAnsi="Times New Roman" w:cs="Times New Roman"/>
          <w:bCs/>
        </w:rPr>
        <w:t xml:space="preserve">are weighting parameters, </w:t>
      </w:r>
      <m:oMath>
        <m:r>
          <w:rPr>
            <w:rFonts w:ascii="Cambria Math" w:hAnsi="Cambria Math" w:cs="Times New Roman"/>
          </w:rPr>
          <m:t>P</m:t>
        </m:r>
        <m:sSub>
          <m:sSubPr>
            <m:ctrlPr>
              <w:rPr>
                <w:rFonts w:ascii="Cambria Math" w:hAnsi="Cambria Math" w:cs="Times New Roman"/>
                <w:bCs/>
              </w:rPr>
            </m:ctrlPr>
          </m:sSubPr>
          <m:e>
            <m:r>
              <w:rPr>
                <w:rFonts w:ascii="Cambria Math" w:hAnsi="Cambria Math" w:cs="Times New Roman"/>
              </w:rPr>
              <m:t>A</m:t>
            </m:r>
          </m:e>
          <m:sub>
            <m:r>
              <w:rPr>
                <w:rFonts w:ascii="Cambria Math" w:hAnsi="Cambria Math" w:cs="Times New Roman"/>
              </w:rPr>
              <m:t>i</m:t>
            </m:r>
          </m:sub>
        </m:sSub>
      </m:oMath>
      <w:r w:rsidRPr="00F00758">
        <w:rPr>
          <w:rFonts w:ascii="Times New Roman" w:hAnsi="Times New Roman" w:cs="Times New Roman"/>
          <w:bCs/>
        </w:rPr>
        <w:t xml:space="preserve">and </w:t>
      </w:r>
      <m:oMath>
        <m:r>
          <w:rPr>
            <w:rFonts w:ascii="Cambria Math" w:hAnsi="Cambria Math" w:cs="Times New Roman"/>
          </w:rPr>
          <m:t>S</m:t>
        </m:r>
        <m:sSub>
          <m:sSubPr>
            <m:ctrlPr>
              <w:rPr>
                <w:rFonts w:ascii="Cambria Math" w:hAnsi="Cambria Math" w:cs="Times New Roman"/>
                <w:bCs/>
              </w:rPr>
            </m:ctrlPr>
          </m:sSubPr>
          <m:e>
            <m:r>
              <w:rPr>
                <w:rFonts w:ascii="Cambria Math" w:hAnsi="Cambria Math" w:cs="Times New Roman"/>
              </w:rPr>
              <m:t>C</m:t>
            </m:r>
          </m:e>
          <m:sub>
            <m:r>
              <w:rPr>
                <w:rFonts w:ascii="Cambria Math" w:hAnsi="Cambria Math" w:cs="Times New Roman"/>
              </w:rPr>
              <m:t>i</m:t>
            </m:r>
          </m:sub>
        </m:sSub>
      </m:oMath>
      <w:r w:rsidRPr="00F00758">
        <w:rPr>
          <w:rFonts w:ascii="Times New Roman" w:hAnsi="Times New Roman" w:cs="Times New Roman"/>
          <w:bCs/>
        </w:rPr>
        <w:t xml:space="preserve">represent tract-level </w:t>
      </w:r>
      <w:r>
        <w:rPr>
          <w:rFonts w:ascii="Times New Roman" w:hAnsi="Times New Roman" w:cs="Times New Roman" w:hint="eastAsia"/>
          <w:bCs/>
        </w:rPr>
        <w:t>PA and SC</w:t>
      </w:r>
      <w:r w:rsidRPr="00F00758">
        <w:rPr>
          <w:rFonts w:ascii="Times New Roman" w:hAnsi="Times New Roman" w:cs="Times New Roman"/>
          <w:bCs/>
        </w:rPr>
        <w:t xml:space="preserve">, respectively, and </w:t>
      </w:r>
      <m:oMath>
        <m:r>
          <w:rPr>
            <w:rFonts w:ascii="Cambria Math" w:hAnsi="Cambria Math" w:cs="Times New Roman"/>
          </w:rPr>
          <m:t>τ(t)</m:t>
        </m:r>
      </m:oMath>
      <w:r>
        <w:rPr>
          <w:rFonts w:ascii="Times New Roman" w:hAnsi="Times New Roman" w:cs="Times New Roman" w:hint="eastAsia"/>
          <w:bCs/>
        </w:rPr>
        <w:t xml:space="preserve"> </w:t>
      </w:r>
      <w:r w:rsidRPr="00F00758">
        <w:rPr>
          <w:rFonts w:ascii="Times New Roman" w:hAnsi="Times New Roman" w:cs="Times New Roman"/>
          <w:bCs/>
        </w:rPr>
        <w:t>is a continuous half-life function governing flood memory persistence:</w:t>
      </w:r>
    </w:p>
    <w:tbl>
      <w:tblPr>
        <w:tblStyle w:val="aa"/>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7113"/>
        <w:gridCol w:w="571"/>
      </w:tblGrid>
      <w:tr w:rsidR="008944C0" w:rsidRPr="00D458EF" w14:paraId="6398A630" w14:textId="77777777" w:rsidTr="00807039">
        <w:tc>
          <w:tcPr>
            <w:tcW w:w="236" w:type="dxa"/>
          </w:tcPr>
          <w:p w14:paraId="4321EF72" w14:textId="35DF9274" w:rsidR="008944C0" w:rsidRPr="00D458EF" w:rsidRDefault="008944C0" w:rsidP="005B487C">
            <w:pPr>
              <w:pStyle w:val="a3"/>
              <w:spacing w:line="360" w:lineRule="auto"/>
              <w:ind w:leftChars="0" w:left="0"/>
              <w:rPr>
                <w:rFonts w:ascii="Times New Roman" w:hAnsi="Times New Roman" w:cs="Times New Roman"/>
                <w:bCs/>
              </w:rPr>
            </w:pPr>
          </w:p>
        </w:tc>
        <w:tc>
          <w:tcPr>
            <w:tcW w:w="7113" w:type="dxa"/>
          </w:tcPr>
          <w:p w14:paraId="07EBC002" w14:textId="19D5CD47" w:rsidR="008944C0" w:rsidRPr="00D458EF" w:rsidRDefault="008944C0" w:rsidP="005B487C">
            <w:pPr>
              <w:pStyle w:val="a3"/>
              <w:spacing w:line="360" w:lineRule="auto"/>
              <w:ind w:leftChars="0" w:left="1440"/>
              <w:rPr>
                <w:rFonts w:ascii="Times New Roman" w:hAnsi="Times New Roman" w:cs="Times New Roman"/>
                <w:bCs/>
              </w:rPr>
            </w:pPr>
            <m:oMathPara>
              <m:oMathParaPr>
                <m:jc m:val="left"/>
              </m:oMathParaPr>
              <m:oMath>
                <m:r>
                  <w:rPr>
                    <w:rFonts w:ascii="Cambria Math" w:hAnsi="Cambria Math"/>
                    <w:lang w:val="en-US"/>
                  </w:rPr>
                  <m:t>τ(t)=</m:t>
                </m:r>
                <m:sSub>
                  <m:sSubPr>
                    <m:ctrlPr>
                      <w:rPr>
                        <w:rFonts w:ascii="Cambria Math" w:hAnsi="Cambria Math"/>
                        <w:lang w:val="en-US"/>
                      </w:rPr>
                    </m:ctrlPr>
                  </m:sSubPr>
                  <m:e>
                    <m:r>
                      <w:rPr>
                        <w:rFonts w:ascii="Cambria Math" w:hAnsi="Cambria Math"/>
                        <w:lang w:val="en-US"/>
                      </w:rPr>
                      <m:t>τ</m:t>
                    </m:r>
                  </m:e>
                  <m:sub>
                    <m:r>
                      <m:rPr>
                        <m:sty m:val="p"/>
                      </m:rPr>
                      <w:rPr>
                        <w:rFonts w:ascii="Cambria Math" w:hAnsi="Cambria Math"/>
                        <w:lang w:val="en-US"/>
                      </w:rPr>
                      <m: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τ</m:t>
                    </m:r>
                  </m:e>
                  <m:sub>
                    <m:r>
                      <m:rPr>
                        <m:sty m:val="p"/>
                      </m:rPr>
                      <w:rPr>
                        <w:rFonts w:ascii="Cambria Math" w:hAnsi="Cambria Math"/>
                        <w:lang w:val="en-US"/>
                      </w:rPr>
                      <m: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τ</m:t>
                    </m:r>
                  </m:e>
                  <m:sub>
                    <m:r>
                      <w:rPr>
                        <w:rFonts w:ascii="Cambria Math" w:hAnsi="Cambria Math"/>
                        <w:lang w:val="en-US"/>
                      </w:rPr>
                      <m:t>0</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e</m:t>
                    </m:r>
                  </m:e>
                  <m:sup>
                    <m:r>
                      <w:rPr>
                        <w:rFonts w:ascii="Cambria Math" w:hAnsi="Cambria Math"/>
                        <w:lang w:val="en-US"/>
                      </w:rPr>
                      <m:t>-kt</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τ</m:t>
                    </m:r>
                  </m:e>
                  <m:sub>
                    <m:r>
                      <m:rPr>
                        <m:sty m:val="p"/>
                      </m:rPr>
                      <w:rPr>
                        <w:rFonts w:ascii="Cambria Math" w:hAnsi="Cambria Math"/>
                        <w:lang w:val="en-US"/>
                      </w:rPr>
                      <m:t>∞</m:t>
                    </m:r>
                  </m:sub>
                </m:sSub>
                <m:r>
                  <w:rPr>
                    <w:rFonts w:ascii="Cambria Math" w:hAnsi="Cambria Math"/>
                    <w:lang w:val="en-US"/>
                  </w:rPr>
                  <m:t>&gt;</m:t>
                </m:r>
                <m:sSub>
                  <m:sSubPr>
                    <m:ctrlPr>
                      <w:rPr>
                        <w:rFonts w:ascii="Cambria Math" w:hAnsi="Cambria Math"/>
                        <w:lang w:val="en-US"/>
                      </w:rPr>
                    </m:ctrlPr>
                  </m:sSubPr>
                  <m:e>
                    <m:r>
                      <w:rPr>
                        <w:rFonts w:ascii="Cambria Math" w:hAnsi="Cambria Math"/>
                        <w:lang w:val="en-US"/>
                      </w:rPr>
                      <m:t>τ</m:t>
                    </m:r>
                  </m:e>
                  <m:sub>
                    <m:r>
                      <w:rPr>
                        <w:rFonts w:ascii="Cambria Math" w:hAnsi="Cambria Math"/>
                        <w:lang w:val="en-US"/>
                      </w:rPr>
                      <m:t>0</m:t>
                    </m:r>
                  </m:sub>
                </m:sSub>
                <m:r>
                  <w:rPr>
                    <w:rFonts w:ascii="Cambria Math" w:hAnsi="Cambria Math"/>
                    <w:lang w:val="en-US"/>
                  </w:rPr>
                  <m:t>&gt;0,</m:t>
                </m:r>
                <m:r>
                  <m:rPr>
                    <m:nor/>
                  </m:rPr>
                  <w:rPr>
                    <w:rFonts w:ascii="Times New Roman" w:hAnsi="Times New Roman" w:cs="Times New Roman"/>
                    <w:bCs/>
                    <w:lang w:val="en-US"/>
                  </w:rPr>
                  <m:t> </m:t>
                </m:r>
                <m:r>
                  <w:rPr>
                    <w:rFonts w:ascii="Cambria Math" w:hAnsi="Cambria Math"/>
                    <w:lang w:val="en-US"/>
                  </w:rPr>
                  <m:t>k&gt;0.</m:t>
                </m:r>
              </m:oMath>
            </m:oMathPara>
          </w:p>
        </w:tc>
        <w:tc>
          <w:tcPr>
            <w:tcW w:w="571" w:type="dxa"/>
            <w:vAlign w:val="center"/>
          </w:tcPr>
          <w:p w14:paraId="7A31CD29" w14:textId="56664C41" w:rsidR="008944C0" w:rsidRPr="00D458EF" w:rsidRDefault="00807039" w:rsidP="007E14EA">
            <w:pPr>
              <w:pStyle w:val="a3"/>
              <w:spacing w:line="360" w:lineRule="auto"/>
              <w:ind w:leftChars="0" w:left="0"/>
              <w:jc w:val="right"/>
              <w:rPr>
                <w:rFonts w:ascii="Times New Roman" w:hAnsi="Times New Roman" w:cs="Times New Roman"/>
                <w:bCs/>
              </w:rPr>
            </w:pPr>
            <w:r>
              <w:rPr>
                <w:rFonts w:ascii="Times New Roman" w:hAnsi="Times New Roman" w:cs="Times New Roman" w:hint="eastAsia"/>
                <w:bCs/>
              </w:rPr>
              <w:t>(4)</w:t>
            </w:r>
          </w:p>
        </w:tc>
      </w:tr>
    </w:tbl>
    <w:p w14:paraId="69F0A62D" w14:textId="6D043045" w:rsidR="00D07D03" w:rsidRPr="00D458EF" w:rsidRDefault="00493436" w:rsidP="00195B84">
      <w:pPr>
        <w:pStyle w:val="a3"/>
        <w:spacing w:line="360" w:lineRule="auto"/>
        <w:ind w:leftChars="0" w:left="1440"/>
        <w:jc w:val="both"/>
        <w:rPr>
          <w:rFonts w:ascii="Times New Roman" w:hAnsi="Times New Roman" w:cs="Times New Roman"/>
          <w:bCs/>
        </w:rPr>
      </w:pPr>
      <w:r>
        <w:rPr>
          <w:rFonts w:ascii="Times New Roman" w:hAnsi="Times New Roman" w:cs="Times New Roman"/>
          <w:bCs/>
        </w:rPr>
        <w:tab/>
      </w:r>
      <w:r w:rsidR="00D07D03" w:rsidRPr="00D458EF">
        <w:rPr>
          <w:rFonts w:ascii="Times New Roman" w:hAnsi="Times New Roman" w:cs="Times New Roman"/>
          <w:bCs/>
        </w:rPr>
        <w:t>All parameters (</w:t>
      </w:r>
      <m:oMath>
        <m:r>
          <w:rPr>
            <w:rFonts w:ascii="Cambria Math" w:hAnsi="Cambria Math"/>
          </w:rPr>
          <m:t>α,β,</m:t>
        </m:r>
        <m:sSub>
          <m:sSubPr>
            <m:ctrlPr>
              <w:rPr>
                <w:rFonts w:ascii="Cambria Math" w:hAnsi="Cambria Math"/>
              </w:rPr>
            </m:ctrlPr>
          </m:sSubPr>
          <m:e>
            <m:r>
              <w:rPr>
                <w:rFonts w:ascii="Cambria Math" w:hAnsi="Cambria Math"/>
              </w:rPr>
              <m:t>τ</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t>
            </m:r>
          </m:sub>
        </m:sSub>
        <m:r>
          <w:rPr>
            <w:rFonts w:ascii="Cambria Math" w:hAnsi="Cambria Math"/>
          </w:rPr>
          <m:t>,k</m:t>
        </m:r>
      </m:oMath>
      <w:r w:rsidR="00D07D03" w:rsidRPr="00D458EF">
        <w:rPr>
          <w:rFonts w:ascii="Times New Roman" w:hAnsi="Times New Roman" w:cs="Times New Roman"/>
          <w:bCs/>
        </w:rPr>
        <w:t>) are calibrated using the flood adaptation survey data</w:t>
      </w:r>
      <w:r w:rsidR="008F712D">
        <w:rPr>
          <w:rFonts w:ascii="Times New Roman" w:hAnsi="Times New Roman" w:cs="Times New Roman" w:hint="eastAsia"/>
          <w:bCs/>
        </w:rPr>
        <w:t xml:space="preserve"> (</w:t>
      </w:r>
      <w:r w:rsidR="008F712D" w:rsidRPr="008F712D">
        <w:rPr>
          <w:rFonts w:ascii="Times New Roman" w:hAnsi="Times New Roman" w:cs="Times New Roman" w:hint="eastAsia"/>
          <w:b/>
        </w:rPr>
        <w:t>Text S3</w:t>
      </w:r>
      <w:r w:rsidR="008F712D">
        <w:rPr>
          <w:rFonts w:ascii="Times New Roman" w:hAnsi="Times New Roman" w:cs="Times New Roman" w:hint="eastAsia"/>
          <w:bCs/>
        </w:rPr>
        <w:t>)</w:t>
      </w:r>
      <w:r w:rsidR="00D07D03" w:rsidRPr="00D458EF">
        <w:rPr>
          <w:rFonts w:ascii="Times New Roman" w:hAnsi="Times New Roman" w:cs="Times New Roman"/>
          <w:bCs/>
        </w:rPr>
        <w:t>. This formulation captures both the reinforcement of TP following major flood events and its gradual decline during flood-free periods, linking social context with the psychological adaptation processes that shape long-term community resilience.</w:t>
      </w:r>
    </w:p>
    <w:p w14:paraId="744AE0A9" w14:textId="77777777" w:rsidR="00D07D03" w:rsidRPr="00D458EF" w:rsidRDefault="00D07D03" w:rsidP="005B487C">
      <w:pPr>
        <w:pStyle w:val="a3"/>
        <w:spacing w:line="360" w:lineRule="auto"/>
        <w:ind w:leftChars="0" w:left="1440"/>
        <w:rPr>
          <w:rFonts w:ascii="Times New Roman" w:hAnsi="Times New Roman" w:cs="Times New Roman"/>
          <w:bCs/>
        </w:rPr>
      </w:pPr>
    </w:p>
    <w:p w14:paraId="09EEE47E" w14:textId="27439CD6" w:rsidR="003C4D22" w:rsidRPr="00D458EF" w:rsidRDefault="00BC3DC7" w:rsidP="005B487C">
      <w:pPr>
        <w:pStyle w:val="a3"/>
        <w:numPr>
          <w:ilvl w:val="0"/>
          <w:numId w:val="22"/>
        </w:numPr>
        <w:spacing w:line="360" w:lineRule="auto"/>
        <w:ind w:leftChars="0" w:left="482" w:hanging="482"/>
        <w:outlineLvl w:val="1"/>
        <w:rPr>
          <w:rFonts w:ascii="Times New Roman" w:hAnsi="Times New Roman" w:cs="Times New Roman"/>
          <w:bCs/>
        </w:rPr>
      </w:pPr>
      <w:r w:rsidRPr="00D458EF">
        <w:rPr>
          <w:rFonts w:ascii="Times New Roman" w:hAnsi="Times New Roman" w:cs="Times New Roman"/>
          <w:bCs/>
        </w:rPr>
        <w:t>Catastrophe Model</w:t>
      </w:r>
    </w:p>
    <w:p w14:paraId="26C50131" w14:textId="65170EB8" w:rsidR="006133EC" w:rsidRPr="00D458EF" w:rsidRDefault="001E2A84" w:rsidP="005B487C">
      <w:pPr>
        <w:pStyle w:val="a3"/>
        <w:numPr>
          <w:ilvl w:val="0"/>
          <w:numId w:val="24"/>
        </w:numPr>
        <w:spacing w:line="360" w:lineRule="auto"/>
        <w:ind w:leftChars="0" w:left="964" w:hanging="482"/>
        <w:outlineLvl w:val="2"/>
        <w:rPr>
          <w:rFonts w:ascii="Times New Roman" w:hAnsi="Times New Roman" w:cs="Times New Roman"/>
          <w:bCs/>
        </w:rPr>
      </w:pPr>
      <w:r w:rsidRPr="00D458EF">
        <w:rPr>
          <w:rFonts w:ascii="Times New Roman" w:hAnsi="Times New Roman" w:cs="Times New Roman"/>
          <w:bCs/>
        </w:rPr>
        <w:t>Exposure module</w:t>
      </w:r>
    </w:p>
    <w:p w14:paraId="6654C70F" w14:textId="3EF51CF7" w:rsidR="008422C3" w:rsidRPr="00D458EF" w:rsidRDefault="0048109E" w:rsidP="005B487C">
      <w:pPr>
        <w:pStyle w:val="a3"/>
        <w:numPr>
          <w:ilvl w:val="0"/>
          <w:numId w:val="30"/>
        </w:numPr>
        <w:spacing w:line="360" w:lineRule="auto"/>
        <w:ind w:leftChars="0"/>
        <w:rPr>
          <w:rFonts w:ascii="Times New Roman" w:hAnsi="Times New Roman" w:cs="Times New Roman"/>
          <w:bCs/>
        </w:rPr>
      </w:pPr>
      <w:r w:rsidRPr="00D458EF">
        <w:rPr>
          <w:rFonts w:ascii="Times New Roman" w:hAnsi="Times New Roman" w:cs="Times New Roman"/>
          <w:bCs/>
        </w:rPr>
        <w:t xml:space="preserve">Data sources and household-level RCV </w:t>
      </w:r>
      <w:r w:rsidR="00644B75" w:rsidRPr="00D458EF">
        <w:rPr>
          <w:rFonts w:ascii="Times New Roman" w:hAnsi="Times New Roman" w:cs="Times New Roman"/>
          <w:bCs/>
        </w:rPr>
        <w:t>specifications</w:t>
      </w:r>
    </w:p>
    <w:p w14:paraId="48E54773" w14:textId="48FA2E5C" w:rsidR="00261F35" w:rsidRPr="00D458EF" w:rsidRDefault="00315F58" w:rsidP="00BB07D2">
      <w:pPr>
        <w:pStyle w:val="a3"/>
        <w:spacing w:line="360" w:lineRule="auto"/>
        <w:ind w:leftChars="0" w:left="1440"/>
        <w:jc w:val="both"/>
        <w:rPr>
          <w:rFonts w:ascii="Times New Roman" w:hAnsi="Times New Roman" w:cs="Times New Roman"/>
          <w:bCs/>
        </w:rPr>
      </w:pPr>
      <w:r>
        <w:rPr>
          <w:rFonts w:ascii="Times New Roman" w:hAnsi="Times New Roman" w:cs="Times New Roman"/>
          <w:bCs/>
        </w:rPr>
        <w:tab/>
      </w:r>
      <w:r w:rsidR="00EF6FCB" w:rsidRPr="00D458EF">
        <w:rPr>
          <w:rFonts w:ascii="Times New Roman" w:hAnsi="Times New Roman" w:cs="Times New Roman"/>
          <w:bCs/>
        </w:rPr>
        <w:t>E</w:t>
      </w:r>
      <w:r w:rsidR="006D0779" w:rsidRPr="00D458EF">
        <w:rPr>
          <w:rFonts w:ascii="Times New Roman" w:hAnsi="Times New Roman" w:cs="Times New Roman"/>
          <w:bCs/>
        </w:rPr>
        <w:t xml:space="preserve">xposure module defines the spatial and monetary representation of residential assets across tracts and provides the baseline conditions for subsequent hazard and damage </w:t>
      </w:r>
      <w:r w:rsidR="006D0779" w:rsidRPr="00D458EF">
        <w:rPr>
          <w:rFonts w:ascii="Times New Roman" w:hAnsi="Times New Roman" w:cs="Times New Roman"/>
          <w:bCs/>
        </w:rPr>
        <w:lastRenderedPageBreak/>
        <w:t xml:space="preserve">calculations. Structural and contents RCV are derived from the </w:t>
      </w:r>
      <w:r w:rsidR="00B57C44" w:rsidRPr="00D458EF">
        <w:rPr>
          <w:rFonts w:ascii="Times New Roman" w:hAnsi="Times New Roman" w:cs="Times New Roman"/>
          <w:bCs/>
        </w:rPr>
        <w:t>N</w:t>
      </w:r>
      <w:r w:rsidR="006D0779" w:rsidRPr="00D458EF">
        <w:rPr>
          <w:rFonts w:ascii="Times New Roman" w:hAnsi="Times New Roman" w:cs="Times New Roman"/>
          <w:bCs/>
        </w:rPr>
        <w:t>ational Structure Inventory</w:t>
      </w:r>
      <w:r w:rsidR="00B57C44" w:rsidRPr="00D458EF">
        <w:rPr>
          <w:rFonts w:ascii="Times New Roman" w:hAnsi="Times New Roman" w:cs="Times New Roman"/>
          <w:bCs/>
        </w:rPr>
        <w:t xml:space="preserve"> (NSI)</w:t>
      </w:r>
      <w:r w:rsidR="006D0779" w:rsidRPr="00D458EF">
        <w:rPr>
          <w:rFonts w:ascii="Times New Roman" w:hAnsi="Times New Roman" w:cs="Times New Roman"/>
          <w:bCs/>
        </w:rPr>
        <w:t xml:space="preserve"> </w:t>
      </w:r>
      <w:r w:rsidR="006D0779" w:rsidRPr="00D458EF">
        <w:rPr>
          <w:rFonts w:ascii="Times New Roman" w:hAnsi="Times New Roman" w:cs="Times New Roman"/>
          <w:bCs/>
        </w:rPr>
        <w:fldChar w:fldCharType="begin"/>
      </w:r>
      <w:r w:rsidR="00BA437D" w:rsidRPr="00D458EF">
        <w:rPr>
          <w:rFonts w:ascii="Times New Roman" w:hAnsi="Times New Roman" w:cs="Times New Roman"/>
          <w:bCs/>
        </w:rPr>
        <w:instrText xml:space="preserve"> ADDIN ZOTERO_ITEM CSL_CITATION {"citationID":"nbXknwdr","properties":{"formattedCitation":"(USACE, 2022)","plainCitation":"(USACE, 2022)","noteIndex":0},"citationItems":[{"id":1959,"uris":["http://zotero.org/users/14772686/items/WPUIES48"],"itemData":{"id":1959,"type":"report","publisher":"U.S. Army Corps of Engineers, Hydrologic Engineering Center","title":"National Structure Inventory: Technical Documentation","URL":"https://www.hec.usace.army.mil/confluence/nsi/technicalreferences/2022/technical-documentation","author":[{"literal":"USACE"}],"issued":{"date-parts":[["2022",6]]}}}],"schema":"https://github.com/citation-style-language/schema/raw/master/csl-citation.json"} </w:instrText>
      </w:r>
      <w:r w:rsidR="006D0779" w:rsidRPr="00D458EF">
        <w:rPr>
          <w:rFonts w:ascii="Times New Roman" w:hAnsi="Times New Roman" w:cs="Times New Roman"/>
          <w:bCs/>
        </w:rPr>
        <w:fldChar w:fldCharType="separate"/>
      </w:r>
      <w:r w:rsidR="006D0779" w:rsidRPr="00D458EF">
        <w:rPr>
          <w:rFonts w:ascii="Times New Roman" w:hAnsi="Times New Roman" w:cs="Times New Roman"/>
        </w:rPr>
        <w:t>(USACE, 2022)</w:t>
      </w:r>
      <w:r w:rsidR="006D0779" w:rsidRPr="00D458EF">
        <w:rPr>
          <w:rFonts w:ascii="Times New Roman" w:hAnsi="Times New Roman" w:cs="Times New Roman"/>
          <w:bCs/>
        </w:rPr>
        <w:fldChar w:fldCharType="end"/>
      </w:r>
      <w:r w:rsidR="006D0779" w:rsidRPr="00D458EF">
        <w:rPr>
          <w:rFonts w:ascii="Times New Roman" w:hAnsi="Times New Roman" w:cs="Times New Roman"/>
          <w:bCs/>
        </w:rPr>
        <w:t xml:space="preserve"> using New Jersey residential records and scaled to match tract-level total residential RCV from HAZUS Inventory National Database </w:t>
      </w:r>
      <w:r w:rsidR="00B57C44" w:rsidRPr="00D458EF">
        <w:rPr>
          <w:rFonts w:ascii="Times New Roman" w:hAnsi="Times New Roman" w:cs="Times New Roman"/>
          <w:bCs/>
        </w:rPr>
        <w:fldChar w:fldCharType="begin"/>
      </w:r>
      <w:r w:rsidR="00BA437D" w:rsidRPr="00D458EF">
        <w:rPr>
          <w:rFonts w:ascii="Times New Roman" w:hAnsi="Times New Roman" w:cs="Times New Roman"/>
          <w:bCs/>
        </w:rPr>
        <w:instrText xml:space="preserve"> ADDIN ZOTERO_ITEM CSL_CITATION {"citationID":"TAIb9O1H","properties":{"formattedCitation":"(FEMA, 2023)","plainCitation":"(FEMA, 2023)","noteIndex":0},"citationItems":[{"id":1939,"uris":["http://zotero.org/users/14772686/items/PIJSV7VS"],"itemData":{"id":1939,"type":"document","note":"publisher-place: Washington, DC","publisher":"Federal Emergency Management Agency","title":"HAZUS Inventory National Database","URL":"https://www.fema.gov/flood-maps/products-tools/hazus","author":[{"literal":"FEMA"}],"issued":{"date-parts":[["2023"]]}}}],"schema":"https://github.com/citation-style-language/schema/raw/master/csl-citation.json"} </w:instrText>
      </w:r>
      <w:r w:rsidR="00B57C44" w:rsidRPr="00D458EF">
        <w:rPr>
          <w:rFonts w:ascii="Times New Roman" w:hAnsi="Times New Roman" w:cs="Times New Roman"/>
          <w:bCs/>
        </w:rPr>
        <w:fldChar w:fldCharType="separate"/>
      </w:r>
      <w:r w:rsidR="00B57C44" w:rsidRPr="00D458EF">
        <w:rPr>
          <w:rFonts w:ascii="Times New Roman" w:hAnsi="Times New Roman" w:cs="Times New Roman"/>
        </w:rPr>
        <w:t>(FEMA, 2023)</w:t>
      </w:r>
      <w:r w:rsidR="00B57C44" w:rsidRPr="00D458EF">
        <w:rPr>
          <w:rFonts w:ascii="Times New Roman" w:hAnsi="Times New Roman" w:cs="Times New Roman"/>
          <w:bCs/>
        </w:rPr>
        <w:fldChar w:fldCharType="end"/>
      </w:r>
      <w:r w:rsidR="006D0779" w:rsidRPr="00D458EF">
        <w:rPr>
          <w:rFonts w:ascii="Times New Roman" w:hAnsi="Times New Roman" w:cs="Times New Roman"/>
          <w:bCs/>
        </w:rPr>
        <w:t xml:space="preserve">. For each tract, household-level RCV are generated following </w:t>
      </w:r>
      <w:r w:rsidR="00880F5F">
        <w:rPr>
          <w:rFonts w:ascii="Times New Roman" w:hAnsi="Times New Roman" w:cs="Times New Roman" w:hint="eastAsia"/>
          <w:bCs/>
        </w:rPr>
        <w:t>the</w:t>
      </w:r>
      <w:r w:rsidR="006D0779" w:rsidRPr="00D458EF">
        <w:rPr>
          <w:rFonts w:ascii="Times New Roman" w:hAnsi="Times New Roman" w:cs="Times New Roman"/>
          <w:bCs/>
        </w:rPr>
        <w:t xml:space="preserve"> distributions, with owners represented by single-unit structures and renters by multi-unit buildings.</w:t>
      </w:r>
      <w:r w:rsidR="00880F5F">
        <w:rPr>
          <w:rFonts w:ascii="Times New Roman" w:hAnsi="Times New Roman" w:cs="Times New Roman" w:hint="eastAsia"/>
          <w:bCs/>
        </w:rPr>
        <w:t xml:space="preserve"> The detail</w:t>
      </w:r>
      <w:r w:rsidR="005E065E">
        <w:rPr>
          <w:rFonts w:ascii="Times New Roman" w:hAnsi="Times New Roman" w:cs="Times New Roman" w:hint="eastAsia"/>
          <w:bCs/>
        </w:rPr>
        <w:t xml:space="preserve">s of initialization </w:t>
      </w:r>
      <w:r w:rsidR="005E065E">
        <w:rPr>
          <w:rFonts w:ascii="Times New Roman" w:hAnsi="Times New Roman" w:cs="Times New Roman"/>
          <w:bCs/>
        </w:rPr>
        <w:t>are</w:t>
      </w:r>
      <w:r w:rsidR="005E065E">
        <w:rPr>
          <w:rFonts w:ascii="Times New Roman" w:hAnsi="Times New Roman" w:cs="Times New Roman" w:hint="eastAsia"/>
          <w:bCs/>
        </w:rPr>
        <w:t xml:space="preserve"> shown in </w:t>
      </w:r>
      <w:r w:rsidR="005E065E" w:rsidRPr="005E065E">
        <w:rPr>
          <w:rFonts w:ascii="Times New Roman" w:hAnsi="Times New Roman" w:cs="Times New Roman" w:hint="eastAsia"/>
          <w:b/>
        </w:rPr>
        <w:t>Text S</w:t>
      </w:r>
      <w:r w:rsidR="008E08B9">
        <w:rPr>
          <w:rFonts w:ascii="Times New Roman" w:hAnsi="Times New Roman" w:cs="Times New Roman" w:hint="eastAsia"/>
          <w:b/>
        </w:rPr>
        <w:t>4</w:t>
      </w:r>
      <w:r w:rsidR="005E065E" w:rsidRPr="005E065E">
        <w:rPr>
          <w:rFonts w:ascii="Times New Roman" w:hAnsi="Times New Roman" w:cs="Times New Roman" w:hint="eastAsia"/>
          <w:b/>
        </w:rPr>
        <w:t>.</w:t>
      </w:r>
    </w:p>
    <w:p w14:paraId="5CA4B7E6" w14:textId="77777777" w:rsidR="006D0779" w:rsidRPr="00D458EF" w:rsidRDefault="006D0779" w:rsidP="00BB07D2">
      <w:pPr>
        <w:pStyle w:val="a3"/>
        <w:spacing w:line="360" w:lineRule="auto"/>
        <w:ind w:leftChars="0" w:left="1440"/>
        <w:jc w:val="both"/>
        <w:rPr>
          <w:rFonts w:ascii="Times New Roman" w:hAnsi="Times New Roman" w:cs="Times New Roman"/>
          <w:bCs/>
        </w:rPr>
      </w:pPr>
    </w:p>
    <w:p w14:paraId="1B35A33C" w14:textId="317B5EAE" w:rsidR="006C1E75" w:rsidRPr="00D458EF" w:rsidRDefault="0048109E" w:rsidP="00BB07D2">
      <w:pPr>
        <w:pStyle w:val="a3"/>
        <w:numPr>
          <w:ilvl w:val="0"/>
          <w:numId w:val="30"/>
        </w:numPr>
        <w:spacing w:line="360" w:lineRule="auto"/>
        <w:ind w:leftChars="0"/>
        <w:jc w:val="both"/>
        <w:rPr>
          <w:rFonts w:ascii="Times New Roman" w:hAnsi="Times New Roman" w:cs="Times New Roman"/>
          <w:bCs/>
        </w:rPr>
      </w:pPr>
      <w:r w:rsidRPr="00D458EF">
        <w:rPr>
          <w:rFonts w:ascii="Times New Roman" w:hAnsi="Times New Roman" w:cs="Times New Roman"/>
          <w:bCs/>
        </w:rPr>
        <w:t>Model assumptions</w:t>
      </w:r>
    </w:p>
    <w:p w14:paraId="3E0E92F7" w14:textId="18F8EC61" w:rsidR="006C1E75" w:rsidRPr="00D458EF" w:rsidRDefault="00E9613B" w:rsidP="00BB07D2">
      <w:pPr>
        <w:pStyle w:val="a3"/>
        <w:spacing w:line="360" w:lineRule="auto"/>
        <w:ind w:leftChars="0" w:left="1440"/>
        <w:jc w:val="both"/>
        <w:rPr>
          <w:rFonts w:ascii="Times New Roman" w:hAnsi="Times New Roman" w:cs="Times New Roman"/>
          <w:bCs/>
        </w:rPr>
      </w:pPr>
      <w:r>
        <w:rPr>
          <w:rFonts w:ascii="Times New Roman" w:hAnsi="Times New Roman" w:cs="Times New Roman"/>
          <w:bCs/>
        </w:rPr>
        <w:tab/>
      </w:r>
      <w:r w:rsidR="006C1E75" w:rsidRPr="00D458EF">
        <w:rPr>
          <w:rFonts w:ascii="Times New Roman" w:hAnsi="Times New Roman" w:cs="Times New Roman"/>
          <w:bCs/>
        </w:rPr>
        <w:t xml:space="preserve">Since detailed spatial </w:t>
      </w:r>
      <w:r w:rsidR="0048109E" w:rsidRPr="00D458EF">
        <w:rPr>
          <w:rFonts w:ascii="Times New Roman" w:hAnsi="Times New Roman" w:cs="Times New Roman"/>
          <w:bCs/>
        </w:rPr>
        <w:t>locations</w:t>
      </w:r>
      <w:r w:rsidR="006C1E75" w:rsidRPr="00D458EF">
        <w:rPr>
          <w:rFonts w:ascii="Times New Roman" w:hAnsi="Times New Roman" w:cs="Times New Roman"/>
          <w:bCs/>
        </w:rPr>
        <w:t xml:space="preserve"> of individual households are unavailable, the model assumes that households are uniformly distributed within each tract, implying that all agents within the same tract are exposed to the tract-level mean flood depth. This aggregation ensures consistency with the hazard module’s tract-level flood representation while maintaining computational tractability. Each household is initialized with a first-floor elevation of 1 ft. </w:t>
      </w:r>
    </w:p>
    <w:p w14:paraId="537FB5EB" w14:textId="77777777" w:rsidR="0048109E" w:rsidRPr="00D458EF" w:rsidRDefault="0048109E" w:rsidP="00BB07D2">
      <w:pPr>
        <w:pStyle w:val="a3"/>
        <w:spacing w:line="360" w:lineRule="auto"/>
        <w:ind w:leftChars="0" w:left="1440"/>
        <w:jc w:val="both"/>
        <w:rPr>
          <w:rFonts w:ascii="Times New Roman" w:hAnsi="Times New Roman" w:cs="Times New Roman"/>
          <w:bCs/>
        </w:rPr>
      </w:pPr>
    </w:p>
    <w:p w14:paraId="0072F93E" w14:textId="70A56B2C" w:rsidR="0048109E" w:rsidRPr="00D458EF" w:rsidRDefault="0048109E" w:rsidP="00BB07D2">
      <w:pPr>
        <w:pStyle w:val="a3"/>
        <w:numPr>
          <w:ilvl w:val="0"/>
          <w:numId w:val="30"/>
        </w:numPr>
        <w:spacing w:line="360" w:lineRule="auto"/>
        <w:ind w:leftChars="0"/>
        <w:jc w:val="both"/>
        <w:rPr>
          <w:rFonts w:ascii="Times New Roman" w:hAnsi="Times New Roman" w:cs="Times New Roman"/>
          <w:bCs/>
        </w:rPr>
      </w:pPr>
      <w:r w:rsidRPr="00D458EF">
        <w:rPr>
          <w:rFonts w:ascii="Times New Roman" w:hAnsi="Times New Roman" w:cs="Times New Roman"/>
          <w:bCs/>
        </w:rPr>
        <w:t>Dynamic updates between exposure and agent’s adaptation</w:t>
      </w:r>
    </w:p>
    <w:p w14:paraId="415FF5A6" w14:textId="0B0AE8B3" w:rsidR="0048109E" w:rsidRPr="00D458EF" w:rsidRDefault="00E00CB9" w:rsidP="00BB07D2">
      <w:pPr>
        <w:pStyle w:val="a3"/>
        <w:spacing w:line="360" w:lineRule="auto"/>
        <w:ind w:leftChars="0" w:left="1440"/>
        <w:jc w:val="both"/>
        <w:rPr>
          <w:rFonts w:ascii="Times New Roman" w:hAnsi="Times New Roman" w:cs="Times New Roman"/>
          <w:bCs/>
        </w:rPr>
      </w:pPr>
      <w:r>
        <w:rPr>
          <w:rFonts w:ascii="Times New Roman" w:hAnsi="Times New Roman" w:cs="Times New Roman"/>
          <w:bCs/>
        </w:rPr>
        <w:tab/>
      </w:r>
      <w:r w:rsidR="00D34E9C" w:rsidRPr="00D458EF">
        <w:rPr>
          <w:rFonts w:ascii="Times New Roman" w:hAnsi="Times New Roman" w:cs="Times New Roman"/>
          <w:bCs/>
        </w:rPr>
        <w:t>E</w:t>
      </w:r>
      <w:r w:rsidR="0048109E" w:rsidRPr="00D458EF">
        <w:rPr>
          <w:rFonts w:ascii="Times New Roman" w:hAnsi="Times New Roman" w:cs="Times New Roman"/>
          <w:bCs/>
        </w:rPr>
        <w:t xml:space="preserve">xposure database </w:t>
      </w:r>
      <w:r w:rsidR="00CA2720" w:rsidRPr="00D458EF">
        <w:rPr>
          <w:rFonts w:ascii="Times New Roman" w:hAnsi="Times New Roman" w:cs="Times New Roman"/>
          <w:bCs/>
        </w:rPr>
        <w:t>is</w:t>
      </w:r>
      <w:r w:rsidR="0048109E" w:rsidRPr="00D458EF">
        <w:rPr>
          <w:rFonts w:ascii="Times New Roman" w:hAnsi="Times New Roman" w:cs="Times New Roman"/>
          <w:bCs/>
        </w:rPr>
        <w:t xml:space="preserve"> updated dynamically through </w:t>
      </w:r>
      <w:r w:rsidR="006B6A4E" w:rsidRPr="00D458EF">
        <w:rPr>
          <w:rFonts w:ascii="Times New Roman" w:hAnsi="Times New Roman" w:cs="Times New Roman"/>
          <w:bCs/>
        </w:rPr>
        <w:t xml:space="preserve">the </w:t>
      </w:r>
      <w:r w:rsidR="0048109E" w:rsidRPr="00D458EF">
        <w:rPr>
          <w:rFonts w:ascii="Times New Roman" w:hAnsi="Times New Roman" w:cs="Times New Roman"/>
          <w:bCs/>
        </w:rPr>
        <w:t xml:space="preserve">agent’s adaptation actions. A </w:t>
      </w:r>
      <w:r w:rsidR="0048109E" w:rsidRPr="00D458EF">
        <w:rPr>
          <w:rFonts w:ascii="Times New Roman" w:hAnsi="Times New Roman" w:cs="Times New Roman"/>
        </w:rPr>
        <w:t xml:space="preserve">buyout </w:t>
      </w:r>
      <w:r w:rsidR="0048109E" w:rsidRPr="00D458EF">
        <w:rPr>
          <w:rFonts w:ascii="Times New Roman" w:hAnsi="Times New Roman" w:cs="Times New Roman"/>
          <w:bCs/>
        </w:rPr>
        <w:t xml:space="preserve">permanently removes the participating homeowner and their associated asset from the simulation, thus reducing both the total number of households and the tract’s aggregate RCV. A </w:t>
      </w:r>
      <w:r w:rsidR="0048109E" w:rsidRPr="00D458EF">
        <w:rPr>
          <w:rFonts w:ascii="Times New Roman" w:hAnsi="Times New Roman" w:cs="Times New Roman"/>
        </w:rPr>
        <w:t>relocation</w:t>
      </w:r>
      <w:r w:rsidR="0048109E" w:rsidRPr="00D458EF">
        <w:rPr>
          <w:rFonts w:ascii="Times New Roman" w:hAnsi="Times New Roman" w:cs="Times New Roman"/>
          <w:bCs/>
        </w:rPr>
        <w:t>, in contrast,</w:t>
      </w:r>
      <w:r w:rsidR="0048109E" w:rsidRPr="00D458EF">
        <w:rPr>
          <w:rFonts w:ascii="Times New Roman" w:hAnsi="Times New Roman" w:cs="Times New Roman"/>
        </w:rPr>
        <w:t xml:space="preserve"> reallocates exposure</w:t>
      </w:r>
      <w:r w:rsidR="0048109E" w:rsidRPr="00D458EF">
        <w:rPr>
          <w:rFonts w:ascii="Times New Roman" w:hAnsi="Times New Roman" w:cs="Times New Roman"/>
          <w:bCs/>
        </w:rPr>
        <w:t xml:space="preserve"> by transferring a renter to another tract with an equal or lower flood depth, modifying the spatial distribution of exposure across the </w:t>
      </w:r>
      <w:r w:rsidR="00CA2720" w:rsidRPr="00D458EF">
        <w:rPr>
          <w:rFonts w:ascii="Times New Roman" w:hAnsi="Times New Roman" w:cs="Times New Roman"/>
          <w:bCs/>
        </w:rPr>
        <w:t>whole</w:t>
      </w:r>
      <w:r w:rsidR="0048109E" w:rsidRPr="00D458EF">
        <w:rPr>
          <w:rFonts w:ascii="Times New Roman" w:hAnsi="Times New Roman" w:cs="Times New Roman"/>
          <w:bCs/>
        </w:rPr>
        <w:t xml:space="preserve"> tract. These </w:t>
      </w:r>
      <w:r w:rsidR="00CA2720" w:rsidRPr="00D458EF">
        <w:rPr>
          <w:rFonts w:ascii="Times New Roman" w:hAnsi="Times New Roman" w:cs="Times New Roman"/>
          <w:bCs/>
        </w:rPr>
        <w:t>updates</w:t>
      </w:r>
      <w:r w:rsidR="0048109E" w:rsidRPr="00D458EF">
        <w:rPr>
          <w:rFonts w:ascii="Times New Roman" w:hAnsi="Times New Roman" w:cs="Times New Roman"/>
          <w:bCs/>
        </w:rPr>
        <w:t xml:space="preserve"> reshape the physical asset base that interacts with the hazard and finance modules over time.</w:t>
      </w:r>
    </w:p>
    <w:p w14:paraId="026537B7" w14:textId="77777777" w:rsidR="00261F35" w:rsidRPr="00D458EF" w:rsidRDefault="00261F35" w:rsidP="00BB07D2">
      <w:pPr>
        <w:spacing w:line="360" w:lineRule="auto"/>
        <w:jc w:val="both"/>
        <w:rPr>
          <w:rFonts w:ascii="Times New Roman" w:hAnsi="Times New Roman" w:cs="Times New Roman"/>
          <w:bCs/>
        </w:rPr>
      </w:pPr>
    </w:p>
    <w:p w14:paraId="760D5EC4" w14:textId="12DECFAB" w:rsidR="006133EC" w:rsidRPr="00D458EF" w:rsidRDefault="006133EC" w:rsidP="00BB07D2">
      <w:pPr>
        <w:pStyle w:val="a3"/>
        <w:numPr>
          <w:ilvl w:val="0"/>
          <w:numId w:val="24"/>
        </w:numPr>
        <w:spacing w:line="360" w:lineRule="auto"/>
        <w:ind w:leftChars="0" w:left="964" w:hanging="482"/>
        <w:jc w:val="both"/>
        <w:outlineLvl w:val="2"/>
        <w:rPr>
          <w:rFonts w:ascii="Times New Roman" w:hAnsi="Times New Roman" w:cs="Times New Roman"/>
          <w:bCs/>
        </w:rPr>
      </w:pPr>
      <w:r w:rsidRPr="00D458EF">
        <w:rPr>
          <w:rFonts w:ascii="Times New Roman" w:hAnsi="Times New Roman" w:cs="Times New Roman"/>
          <w:bCs/>
        </w:rPr>
        <w:t>Hazard modules</w:t>
      </w:r>
    </w:p>
    <w:p w14:paraId="22E93DC1" w14:textId="79423F09" w:rsidR="00AB1D8A" w:rsidRPr="00F91534" w:rsidRDefault="008422C3" w:rsidP="00F91534">
      <w:pPr>
        <w:pStyle w:val="a3"/>
        <w:numPr>
          <w:ilvl w:val="0"/>
          <w:numId w:val="31"/>
        </w:numPr>
        <w:spacing w:line="360" w:lineRule="auto"/>
        <w:ind w:leftChars="0"/>
        <w:jc w:val="both"/>
        <w:rPr>
          <w:rFonts w:ascii="Times New Roman" w:hAnsi="Times New Roman" w:cs="Times New Roman"/>
        </w:rPr>
      </w:pPr>
      <w:r w:rsidRPr="00D458EF">
        <w:rPr>
          <w:rFonts w:ascii="Times New Roman" w:hAnsi="Times New Roman" w:cs="Times New Roman"/>
          <w:bCs/>
        </w:rPr>
        <w:t xml:space="preserve">Flood inundation model </w:t>
      </w:r>
      <w:r w:rsidR="003F1069" w:rsidRPr="00D458EF">
        <w:rPr>
          <w:rFonts w:ascii="Times New Roman" w:hAnsi="Times New Roman" w:cs="Times New Roman"/>
          <w:bCs/>
        </w:rPr>
        <w:t>(1K-DH</w:t>
      </w:r>
      <w:r w:rsidR="00A96910">
        <w:rPr>
          <w:rFonts w:ascii="Times New Roman" w:hAnsi="Times New Roman" w:cs="Times New Roman" w:hint="eastAsia"/>
          <w:bCs/>
        </w:rPr>
        <w:t>M</w:t>
      </w:r>
      <w:r w:rsidR="003F1069" w:rsidRPr="00D458EF">
        <w:rPr>
          <w:rFonts w:ascii="Times New Roman" w:hAnsi="Times New Roman" w:cs="Times New Roman"/>
          <w:bCs/>
        </w:rPr>
        <w:t>) and tract-level average flood depth</w:t>
      </w:r>
    </w:p>
    <w:p w14:paraId="7867CDF5" w14:textId="23DD22E6" w:rsidR="00AB1D8A" w:rsidRPr="00D47490" w:rsidRDefault="00AA62EA" w:rsidP="001263A1">
      <w:pPr>
        <w:spacing w:line="360" w:lineRule="auto"/>
        <w:ind w:left="1440"/>
        <w:jc w:val="both"/>
        <w:rPr>
          <w:rFonts w:ascii="Times New Roman" w:hAnsi="Times New Roman" w:cs="Times New Roman"/>
          <w:bCs/>
          <w:lang w:val="en-US"/>
        </w:rPr>
      </w:pPr>
      <w:r>
        <w:rPr>
          <w:rFonts w:ascii="Times New Roman" w:hAnsi="Times New Roman" w:cs="Times New Roman"/>
          <w:bCs/>
          <w:lang w:val="en-US"/>
        </w:rPr>
        <w:tab/>
      </w:r>
      <w:r w:rsidR="00D34E9C" w:rsidRPr="00D458EF">
        <w:rPr>
          <w:rFonts w:ascii="Times New Roman" w:hAnsi="Times New Roman" w:cs="Times New Roman"/>
          <w:bCs/>
          <w:lang w:val="en-US"/>
        </w:rPr>
        <w:t>H</w:t>
      </w:r>
      <w:r w:rsidR="00AB1D8A" w:rsidRPr="00D458EF">
        <w:rPr>
          <w:rFonts w:ascii="Times New Roman" w:hAnsi="Times New Roman" w:cs="Times New Roman"/>
          <w:bCs/>
          <w:lang w:val="en-US"/>
        </w:rPr>
        <w:t xml:space="preserve">azard module uses pre-run outputs from the 1K-DHM, a distributed hydrological model based on the kinematic wave </w:t>
      </w:r>
      <w:r w:rsidR="00A13230" w:rsidRPr="00D458EF">
        <w:rPr>
          <w:rFonts w:ascii="Times New Roman" w:hAnsi="Times New Roman" w:cs="Times New Roman"/>
          <w:bCs/>
          <w:lang w:val="en-US"/>
        </w:rPr>
        <w:fldChar w:fldCharType="begin"/>
      </w:r>
      <w:r w:rsidR="00BA437D" w:rsidRPr="00D458EF">
        <w:rPr>
          <w:rFonts w:ascii="Times New Roman" w:hAnsi="Times New Roman" w:cs="Times New Roman"/>
          <w:bCs/>
          <w:lang w:val="en-US"/>
        </w:rPr>
        <w:instrText xml:space="preserve"> ADDIN ZOTERO_ITEM CSL_CITATION {"citationID":"waIaFEGd","properties":{"formattedCitation":"(Tachikawa &amp; Tanaka, 2018)","plainCitation":"(Tachikawa &amp; Tanaka, 2018)","noteIndex":0},"citationItems":[{"id":1975,"uris":["http://zotero.org/users/14772686/items/7797AT7Z"],"itemData":{"id":1975,"type":"book","publisher":"Kyoto University, Hydrology and Water Resources Research Laboratory","title":"User Manual for Distributed Hydrological Model: 1K-DHM-event (version 2.22)","URL":"https://hywr.kuciv.kyoto-u.ac.jp/products/1K-DHM/1K-DHM.html","author":[{"family":"Tachikawa","given":"Yasuto"},{"family":"Tanaka","given":"Tomohiro"}],"issued":{"date-parts":[["2018"]]}}}],"schema":"https://github.com/citation-style-language/schema/raw/master/csl-citation.json"} </w:instrText>
      </w:r>
      <w:r w:rsidR="00A13230" w:rsidRPr="00D458EF">
        <w:rPr>
          <w:rFonts w:ascii="Times New Roman" w:hAnsi="Times New Roman" w:cs="Times New Roman"/>
          <w:bCs/>
          <w:lang w:val="en-US"/>
        </w:rPr>
        <w:fldChar w:fldCharType="separate"/>
      </w:r>
      <w:r w:rsidR="00A13230" w:rsidRPr="00D458EF">
        <w:rPr>
          <w:rFonts w:ascii="Times New Roman" w:hAnsi="Times New Roman" w:cs="Times New Roman"/>
        </w:rPr>
        <w:t>(Tachikawa &amp; Tanaka, 2018)</w:t>
      </w:r>
      <w:r w:rsidR="00A13230" w:rsidRPr="00D458EF">
        <w:rPr>
          <w:rFonts w:ascii="Times New Roman" w:hAnsi="Times New Roman" w:cs="Times New Roman"/>
          <w:bCs/>
          <w:lang w:val="en-US"/>
        </w:rPr>
        <w:fldChar w:fldCharType="end"/>
      </w:r>
      <w:r w:rsidR="00AB1D8A" w:rsidRPr="00D458EF">
        <w:rPr>
          <w:rFonts w:ascii="Times New Roman" w:hAnsi="Times New Roman" w:cs="Times New Roman"/>
          <w:bCs/>
          <w:lang w:val="en-US"/>
        </w:rPr>
        <w:t xml:space="preserve">. </w:t>
      </w:r>
      <w:r w:rsidR="007F724A" w:rsidRPr="007F724A">
        <w:rPr>
          <w:rFonts w:ascii="Times New Roman" w:hAnsi="Times New Roman" w:cs="Times New Roman"/>
          <w:bCs/>
        </w:rPr>
        <w:t>The model operates at a 30 m spatial resolution and provides grid-level peak flood depth for each simulated event</w:t>
      </w:r>
      <w:r w:rsidR="007F724A">
        <w:rPr>
          <w:rFonts w:ascii="Times New Roman" w:hAnsi="Times New Roman" w:cs="Times New Roman" w:hint="eastAsia"/>
          <w:bCs/>
        </w:rPr>
        <w:t xml:space="preserve"> from 2011 to 2023</w:t>
      </w:r>
      <w:r w:rsidR="007F724A" w:rsidRPr="007F724A">
        <w:rPr>
          <w:rFonts w:ascii="Times New Roman" w:hAnsi="Times New Roman" w:cs="Times New Roman"/>
          <w:bCs/>
        </w:rPr>
        <w:t>.</w:t>
      </w:r>
      <w:r w:rsidR="00AB1D8A" w:rsidRPr="00D458EF">
        <w:rPr>
          <w:rFonts w:ascii="Times New Roman" w:hAnsi="Times New Roman" w:cs="Times New Roman"/>
          <w:bCs/>
          <w:lang w:val="en-US"/>
        </w:rPr>
        <w:t xml:space="preserve"> For each tract </w:t>
      </w:r>
      <m:oMath>
        <m:r>
          <w:rPr>
            <w:rFonts w:ascii="Cambria Math" w:hAnsi="Cambria Math"/>
            <w:lang w:val="en-US"/>
          </w:rPr>
          <m:t>i</m:t>
        </m:r>
      </m:oMath>
      <w:r w:rsidR="00AB1D8A" w:rsidRPr="00D458EF">
        <w:rPr>
          <w:rFonts w:ascii="Times New Roman" w:hAnsi="Times New Roman" w:cs="Times New Roman"/>
          <w:bCs/>
          <w:lang w:val="en-US"/>
        </w:rPr>
        <w:t xml:space="preserve"> </w:t>
      </w:r>
      <w:r w:rsidR="00A13230" w:rsidRPr="00D458EF">
        <w:rPr>
          <w:rFonts w:ascii="Times New Roman" w:hAnsi="Times New Roman" w:cs="Times New Roman"/>
          <w:bCs/>
          <w:lang w:val="en-US"/>
        </w:rPr>
        <w:t xml:space="preserve">and </w:t>
      </w:r>
      <w:r w:rsidR="00AB1D8A" w:rsidRPr="00D458EF">
        <w:rPr>
          <w:rFonts w:ascii="Times New Roman" w:hAnsi="Times New Roman" w:cs="Times New Roman"/>
          <w:bCs/>
          <w:lang w:val="en-US"/>
        </w:rPr>
        <w:t xml:space="preserve">year </w:t>
      </w:r>
      <m:oMath>
        <m:r>
          <w:rPr>
            <w:rFonts w:ascii="Cambria Math" w:hAnsi="Cambria Math"/>
            <w:lang w:val="en-US"/>
          </w:rPr>
          <m:t>t</m:t>
        </m:r>
      </m:oMath>
      <w:r w:rsidR="00AB1D8A" w:rsidRPr="00D458EF">
        <w:rPr>
          <w:rFonts w:ascii="Times New Roman" w:hAnsi="Times New Roman" w:cs="Times New Roman"/>
          <w:bCs/>
          <w:lang w:val="en-US"/>
        </w:rPr>
        <w:t xml:space="preserve">, the mean </w:t>
      </w:r>
      <w:r w:rsidR="00BB07D2">
        <w:rPr>
          <w:rFonts w:ascii="Times New Roman" w:hAnsi="Times New Roman" w:cs="Times New Roman" w:hint="eastAsia"/>
          <w:bCs/>
          <w:lang w:val="en-US"/>
        </w:rPr>
        <w:t xml:space="preserve">tract-level </w:t>
      </w:r>
      <w:r w:rsidR="00AB1D8A" w:rsidRPr="00D458EF">
        <w:rPr>
          <w:rFonts w:ascii="Times New Roman" w:hAnsi="Times New Roman" w:cs="Times New Roman"/>
          <w:bCs/>
          <w:lang w:val="en-US"/>
        </w:rPr>
        <w:t xml:space="preserve">peak flood depth is computed as the arithmetic average of all grid-level peak </w:t>
      </w:r>
      <w:r w:rsidR="00A13230" w:rsidRPr="00D458EF">
        <w:rPr>
          <w:rFonts w:ascii="Times New Roman" w:hAnsi="Times New Roman" w:cs="Times New Roman"/>
          <w:bCs/>
          <w:lang w:val="en-US"/>
        </w:rPr>
        <w:t xml:space="preserve">flood </w:t>
      </w:r>
      <w:r w:rsidR="00AB1D8A" w:rsidRPr="00D458EF">
        <w:rPr>
          <w:rFonts w:ascii="Times New Roman" w:hAnsi="Times New Roman" w:cs="Times New Roman"/>
          <w:bCs/>
          <w:lang w:val="en-US"/>
        </w:rPr>
        <w:t>depths within the tract:</w:t>
      </w:r>
    </w:p>
    <w:tbl>
      <w:tblPr>
        <w:tblStyle w:val="aa"/>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7113"/>
        <w:gridCol w:w="571"/>
      </w:tblGrid>
      <w:tr w:rsidR="00CB0EA5" w:rsidRPr="00D458EF" w14:paraId="3DBDCE58" w14:textId="77777777">
        <w:tc>
          <w:tcPr>
            <w:tcW w:w="236" w:type="dxa"/>
          </w:tcPr>
          <w:p w14:paraId="2B1AD019" w14:textId="77777777" w:rsidR="00CB0EA5" w:rsidRPr="00D458EF" w:rsidRDefault="00CB0EA5" w:rsidP="005B487C">
            <w:pPr>
              <w:pStyle w:val="a3"/>
              <w:spacing w:line="360" w:lineRule="auto"/>
              <w:ind w:leftChars="0" w:left="0"/>
              <w:rPr>
                <w:rFonts w:ascii="Times New Roman" w:hAnsi="Times New Roman" w:cs="Times New Roman"/>
                <w:bCs/>
              </w:rPr>
            </w:pPr>
          </w:p>
        </w:tc>
        <w:tc>
          <w:tcPr>
            <w:tcW w:w="7113" w:type="dxa"/>
          </w:tcPr>
          <w:p w14:paraId="3EAE0AA7" w14:textId="289DB8B2" w:rsidR="00CB0EA5" w:rsidRPr="00F91534" w:rsidRDefault="00271330" w:rsidP="00F91534">
            <w:pPr>
              <w:spacing w:line="360" w:lineRule="auto"/>
              <w:rPr>
                <w:rFonts w:ascii="Times New Roman" w:hAnsi="Times New Roman" w:cs="Times New Roman"/>
                <w:lang w:val="en-US"/>
              </w:rPr>
            </w:pPr>
            <m:oMathPara>
              <m:oMathParaPr>
                <m:jc m:val="center"/>
              </m:oMathParaPr>
              <m:oMath>
                <m:sSubSup>
                  <m:sSubSupPr>
                    <m:ctrlPr>
                      <w:rPr>
                        <w:rFonts w:ascii="Cambria Math" w:hAnsi="Cambria Math"/>
                        <w:lang w:val="en-US"/>
                      </w:rPr>
                    </m:ctrlPr>
                  </m:sSubSupPr>
                  <m:e>
                    <m:acc>
                      <m:accPr>
                        <m:chr m:val="ˉ"/>
                        <m:ctrlPr>
                          <w:rPr>
                            <w:rFonts w:ascii="Cambria Math" w:hAnsi="Cambria Math"/>
                            <w:lang w:val="en-US"/>
                          </w:rPr>
                        </m:ctrlPr>
                      </m:accPr>
                      <m:e>
                        <m:r>
                          <w:rPr>
                            <w:rFonts w:ascii="Cambria Math" w:hAnsi="Cambria Math"/>
                            <w:lang w:val="en-US"/>
                          </w:rPr>
                          <m:t>d</m:t>
                        </m:r>
                      </m:e>
                    </m:acc>
                  </m:e>
                  <m:sub>
                    <m:r>
                      <w:rPr>
                        <w:rFonts w:ascii="Cambria Math" w:hAnsi="Cambria Math"/>
                        <w:lang w:val="en-US"/>
                      </w:rPr>
                      <m:t>t</m:t>
                    </m:r>
                  </m:sub>
                  <m:sup>
                    <m:r>
                      <w:rPr>
                        <w:rFonts w:ascii="Cambria Math" w:hAnsi="Cambria Math"/>
                        <w:lang w:val="en-US"/>
                      </w:rPr>
                      <m:t>(i)</m:t>
                    </m:r>
                  </m:sup>
                </m:sSubSup>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i</m:t>
                        </m:r>
                      </m:sub>
                    </m:sSub>
                  </m:den>
                </m:f>
                <m:nary>
                  <m:naryPr>
                    <m:chr m:val="∑"/>
                    <m:limLoc m:val="undOvr"/>
                    <m:grow m:val="1"/>
                    <m:ctrlPr>
                      <w:rPr>
                        <w:rFonts w:ascii="Cambria Math" w:hAnsi="Cambria Math"/>
                        <w:lang w:val="en-US"/>
                      </w:rPr>
                    </m:ctrlPr>
                  </m:naryPr>
                  <m:sub>
                    <m:r>
                      <w:rPr>
                        <w:rFonts w:ascii="Cambria Math" w:hAnsi="Cambria Math"/>
                        <w:lang w:val="en-US"/>
                      </w:rPr>
                      <m:t>g=1</m:t>
                    </m:r>
                  </m:sub>
                  <m:sup>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i</m:t>
                        </m:r>
                      </m:sub>
                    </m:sSub>
                  </m:sup>
                  <m:e>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g,i</m:t>
                        </m:r>
                      </m:sub>
                      <m:sup>
                        <m:r>
                          <w:rPr>
                            <w:rFonts w:ascii="Cambria Math" w:hAnsi="Cambria Math"/>
                            <w:lang w:val="en-US"/>
                          </w:rPr>
                          <m:t>peak</m:t>
                        </m:r>
                      </m:sup>
                    </m:sSubSup>
                  </m:e>
                </m:nary>
              </m:oMath>
            </m:oMathPara>
          </w:p>
        </w:tc>
        <w:tc>
          <w:tcPr>
            <w:tcW w:w="571" w:type="dxa"/>
            <w:vAlign w:val="center"/>
          </w:tcPr>
          <w:p w14:paraId="35DB6BA8" w14:textId="4E6D8496" w:rsidR="00CB0EA5" w:rsidRPr="00D458EF" w:rsidRDefault="00CB0EA5" w:rsidP="00F91534">
            <w:pPr>
              <w:pStyle w:val="a3"/>
              <w:spacing w:line="360" w:lineRule="auto"/>
              <w:ind w:leftChars="0" w:left="0"/>
              <w:jc w:val="right"/>
              <w:rPr>
                <w:rFonts w:ascii="Times New Roman" w:hAnsi="Times New Roman" w:cs="Times New Roman"/>
                <w:bCs/>
              </w:rPr>
            </w:pPr>
            <w:r>
              <w:rPr>
                <w:rFonts w:ascii="Times New Roman" w:hAnsi="Times New Roman" w:cs="Times New Roman" w:hint="eastAsia"/>
                <w:bCs/>
              </w:rPr>
              <w:t>(5)</w:t>
            </w:r>
          </w:p>
        </w:tc>
      </w:tr>
    </w:tbl>
    <w:p w14:paraId="7CEB86F2" w14:textId="3E8D93F0" w:rsidR="00AB1D8A" w:rsidRPr="00D458EF" w:rsidRDefault="00A13230" w:rsidP="002C3B62">
      <w:pPr>
        <w:spacing w:line="360" w:lineRule="auto"/>
        <w:ind w:left="1440"/>
        <w:jc w:val="both"/>
        <w:rPr>
          <w:rFonts w:ascii="Times New Roman" w:hAnsi="Times New Roman" w:cs="Times New Roman"/>
          <w:bCs/>
          <w:lang w:val="en-US"/>
        </w:rPr>
      </w:pPr>
      <w:r w:rsidRPr="00D458EF">
        <w:rPr>
          <w:rFonts w:ascii="Times New Roman" w:hAnsi="Times New Roman" w:cs="Times New Roman"/>
          <w:bCs/>
          <w:lang w:val="en-US"/>
        </w:rPr>
        <w:lastRenderedPageBreak/>
        <w:t>W</w:t>
      </w:r>
      <w:r w:rsidR="00AB1D8A" w:rsidRPr="00D458EF">
        <w:rPr>
          <w:rFonts w:ascii="Times New Roman" w:hAnsi="Times New Roman" w:cs="Times New Roman"/>
          <w:bCs/>
          <w:lang w:val="en-US"/>
        </w:rPr>
        <w:t>here</w:t>
      </w:r>
      <w:r w:rsidRPr="00D458EF">
        <w:rPr>
          <w:rFonts w:ascii="Times New Roman" w:hAnsi="Times New Roman" w:cs="Times New Roman"/>
          <w:bCs/>
          <w:lang w:val="en-US"/>
        </w:rPr>
        <w:t xml:space="preserve"> </w:t>
      </w:r>
      <m:oMath>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i</m:t>
            </m:r>
          </m:sub>
        </m:sSub>
      </m:oMath>
      <w:r w:rsidR="00F91534">
        <w:rPr>
          <w:rFonts w:ascii="Times New Roman" w:hAnsi="Times New Roman" w:cs="Times New Roman" w:hint="eastAsia"/>
          <w:lang w:val="en-US"/>
        </w:rPr>
        <w:t xml:space="preserve"> </w:t>
      </w:r>
      <w:r w:rsidR="00AB1D8A" w:rsidRPr="00D458EF">
        <w:rPr>
          <w:rFonts w:ascii="Times New Roman" w:hAnsi="Times New Roman" w:cs="Times New Roman"/>
          <w:bCs/>
          <w:lang w:val="en-US"/>
        </w:rPr>
        <w:t>denotes the number of grids within tract</w:t>
      </w:r>
      <w:r w:rsidRPr="00D458EF">
        <w:rPr>
          <w:rFonts w:ascii="Times New Roman" w:hAnsi="Times New Roman" w:cs="Times New Roman"/>
          <w:bCs/>
          <w:lang w:val="en-US"/>
        </w:rPr>
        <w:t xml:space="preserve"> </w:t>
      </w:r>
      <m:oMath>
        <m:r>
          <w:rPr>
            <w:rFonts w:ascii="Cambria Math" w:hAnsi="Cambria Math"/>
            <w:lang w:val="en-US"/>
          </w:rPr>
          <m:t>j</m:t>
        </m:r>
      </m:oMath>
      <w:r w:rsidR="00AB1D8A" w:rsidRPr="00D458EF">
        <w:rPr>
          <w:rFonts w:ascii="Times New Roman" w:hAnsi="Times New Roman" w:cs="Times New Roman"/>
          <w:bCs/>
          <w:lang w:val="en-US"/>
        </w:rPr>
        <w:t xml:space="preserve">, and </w:t>
      </w:r>
      <m:oMath>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g,i</m:t>
            </m:r>
          </m:sub>
          <m:sup>
            <m:r>
              <w:rPr>
                <w:rFonts w:ascii="Cambria Math" w:hAnsi="Cambria Math"/>
                <w:lang w:val="en-US"/>
              </w:rPr>
              <m:t>peak</m:t>
            </m:r>
          </m:sup>
        </m:sSubSup>
      </m:oMath>
      <w:r w:rsidR="00AB1D8A" w:rsidRPr="00D458EF">
        <w:rPr>
          <w:rFonts w:ascii="Times New Roman" w:hAnsi="Times New Roman" w:cs="Times New Roman"/>
          <w:bCs/>
          <w:lang w:val="en-US"/>
        </w:rPr>
        <w:t xml:space="preserve">represents the peak flood depth at grid </w:t>
      </w:r>
      <m:oMath>
        <m:r>
          <w:rPr>
            <w:rFonts w:ascii="Cambria Math" w:hAnsi="Cambria Math"/>
            <w:lang w:val="en-US"/>
          </w:rPr>
          <m:t>g</m:t>
        </m:r>
      </m:oMath>
      <w:r w:rsidRPr="00D458EF">
        <w:rPr>
          <w:rFonts w:ascii="Times New Roman" w:hAnsi="Times New Roman" w:cs="Times New Roman"/>
          <w:bCs/>
          <w:lang w:val="en-US"/>
        </w:rPr>
        <w:t xml:space="preserve"> at</w:t>
      </w:r>
      <w:r w:rsidR="00AB1D8A" w:rsidRPr="00D458EF">
        <w:rPr>
          <w:rFonts w:ascii="Times New Roman" w:hAnsi="Times New Roman" w:cs="Times New Roman"/>
          <w:bCs/>
          <w:lang w:val="en-US"/>
        </w:rPr>
        <w:t xml:space="preserve"> year </w:t>
      </w:r>
      <m:oMath>
        <m:r>
          <w:rPr>
            <w:rFonts w:ascii="Cambria Math" w:hAnsi="Cambria Math"/>
            <w:lang w:val="en-US"/>
          </w:rPr>
          <m:t>t</m:t>
        </m:r>
      </m:oMath>
      <w:r w:rsidR="00AB1D8A" w:rsidRPr="00D458EF">
        <w:rPr>
          <w:rFonts w:ascii="Times New Roman" w:hAnsi="Times New Roman" w:cs="Times New Roman"/>
          <w:bCs/>
          <w:lang w:val="en-US"/>
        </w:rPr>
        <w:t>.</w:t>
      </w:r>
      <w:r w:rsidRPr="00D458EF">
        <w:rPr>
          <w:rFonts w:ascii="Times New Roman" w:hAnsi="Times New Roman" w:cs="Times New Roman"/>
        </w:rPr>
        <w:t xml:space="preserve"> </w:t>
      </w:r>
      <w:r w:rsidR="002C3B62" w:rsidRPr="002C3B62">
        <w:rPr>
          <w:rFonts w:ascii="Times New Roman" w:hAnsi="Times New Roman" w:cs="Times New Roman"/>
          <w:bCs/>
        </w:rPr>
        <w:t xml:space="preserve">All households within a tract are assumed to experience the same flood conditions; thus, </w:t>
      </w:r>
      <m:oMath>
        <m:sSubSup>
          <m:sSubSupPr>
            <m:ctrlPr>
              <w:rPr>
                <w:rFonts w:ascii="Cambria Math" w:hAnsi="Cambria Math" w:cs="Times New Roman"/>
                <w:bCs/>
              </w:rPr>
            </m:ctrlPr>
          </m:sSubSupPr>
          <m:e>
            <m:acc>
              <m:accPr>
                <m:chr m:val="ˉ"/>
                <m:ctrlPr>
                  <w:rPr>
                    <w:rFonts w:ascii="Cambria Math" w:hAnsi="Cambria Math" w:cs="Times New Roman"/>
                    <w:bCs/>
                  </w:rPr>
                </m:ctrlPr>
              </m:accPr>
              <m:e>
                <m:r>
                  <w:rPr>
                    <w:rFonts w:ascii="Cambria Math" w:hAnsi="Cambria Math" w:cs="Times New Roman"/>
                  </w:rPr>
                  <m:t>D</m:t>
                </m:r>
              </m:e>
            </m:acc>
          </m:e>
          <m:sub>
            <m:r>
              <w:rPr>
                <w:rFonts w:ascii="Cambria Math" w:hAnsi="Cambria Math" w:cs="Times New Roman"/>
              </w:rPr>
              <m:t>t</m:t>
            </m:r>
          </m:sub>
          <m:sup>
            <m:d>
              <m:dPr>
                <m:ctrlPr>
                  <w:rPr>
                    <w:rFonts w:ascii="Cambria Math" w:hAnsi="Cambria Math" w:cs="Times New Roman"/>
                    <w:bCs/>
                  </w:rPr>
                </m:ctrlPr>
              </m:dPr>
              <m:e>
                <m:r>
                  <w:rPr>
                    <w:rFonts w:ascii="Cambria Math" w:hAnsi="Cambria Math" w:cs="Times New Roman"/>
                  </w:rPr>
                  <m:t>i</m:t>
                </m:r>
              </m:e>
            </m:d>
          </m:sup>
        </m:sSubSup>
      </m:oMath>
      <w:r w:rsidR="002C3B62" w:rsidRPr="002C3B62">
        <w:rPr>
          <w:rFonts w:ascii="Times New Roman" w:hAnsi="Times New Roman" w:cs="Times New Roman"/>
          <w:bCs/>
        </w:rPr>
        <w:t>serves as the flood hazard input to the vulnerability module.</w:t>
      </w:r>
    </w:p>
    <w:p w14:paraId="54ACAE22" w14:textId="77777777" w:rsidR="007F72BF" w:rsidRPr="00D458EF" w:rsidRDefault="007F72BF" w:rsidP="005B487C">
      <w:pPr>
        <w:spacing w:line="360" w:lineRule="auto"/>
        <w:rPr>
          <w:rFonts w:ascii="Times New Roman" w:hAnsi="Times New Roman" w:cs="Times New Roman"/>
          <w:bCs/>
        </w:rPr>
      </w:pPr>
    </w:p>
    <w:p w14:paraId="371F24F4" w14:textId="430370DB" w:rsidR="006133EC" w:rsidRPr="00D458EF" w:rsidRDefault="006133EC" w:rsidP="005B487C">
      <w:pPr>
        <w:pStyle w:val="a3"/>
        <w:numPr>
          <w:ilvl w:val="0"/>
          <w:numId w:val="24"/>
        </w:numPr>
        <w:spacing w:line="360" w:lineRule="auto"/>
        <w:ind w:leftChars="0" w:left="964" w:hanging="482"/>
        <w:outlineLvl w:val="2"/>
        <w:rPr>
          <w:rFonts w:ascii="Times New Roman" w:hAnsi="Times New Roman" w:cs="Times New Roman"/>
          <w:bCs/>
        </w:rPr>
      </w:pPr>
      <w:r w:rsidRPr="00D458EF">
        <w:rPr>
          <w:rFonts w:ascii="Times New Roman" w:hAnsi="Times New Roman" w:cs="Times New Roman"/>
          <w:bCs/>
        </w:rPr>
        <w:t>Vulnerability modules</w:t>
      </w:r>
    </w:p>
    <w:p w14:paraId="13065D61" w14:textId="22DF9B2A" w:rsidR="003F1069" w:rsidRPr="00D458EF" w:rsidRDefault="003F1069" w:rsidP="00F91534">
      <w:pPr>
        <w:pStyle w:val="a3"/>
        <w:numPr>
          <w:ilvl w:val="0"/>
          <w:numId w:val="32"/>
        </w:numPr>
        <w:spacing w:line="360" w:lineRule="auto"/>
        <w:ind w:leftChars="0"/>
        <w:jc w:val="both"/>
        <w:rPr>
          <w:rFonts w:ascii="Times New Roman" w:hAnsi="Times New Roman" w:cs="Times New Roman"/>
          <w:bCs/>
        </w:rPr>
      </w:pPr>
      <w:r w:rsidRPr="00D458EF">
        <w:rPr>
          <w:rFonts w:ascii="Times New Roman" w:hAnsi="Times New Roman" w:cs="Times New Roman"/>
          <w:bCs/>
        </w:rPr>
        <w:t>Explanation of the depth-damage curve on contents and structures</w:t>
      </w:r>
    </w:p>
    <w:p w14:paraId="23A3319E" w14:textId="29FD0459" w:rsidR="006B6A4E" w:rsidRPr="00D458EF" w:rsidRDefault="00B566CB" w:rsidP="00F91534">
      <w:pPr>
        <w:pStyle w:val="a3"/>
        <w:spacing w:line="360" w:lineRule="auto"/>
        <w:ind w:leftChars="0" w:left="1440"/>
        <w:jc w:val="both"/>
        <w:rPr>
          <w:rFonts w:ascii="Times New Roman" w:hAnsi="Times New Roman" w:cs="Times New Roman"/>
          <w:bCs/>
        </w:rPr>
      </w:pPr>
      <w:r>
        <w:rPr>
          <w:rFonts w:ascii="Times New Roman" w:hAnsi="Times New Roman" w:cs="Times New Roman"/>
          <w:bCs/>
        </w:rPr>
        <w:tab/>
      </w:r>
      <w:r w:rsidR="001852F8" w:rsidRPr="00D458EF">
        <w:rPr>
          <w:rFonts w:ascii="Times New Roman" w:hAnsi="Times New Roman" w:cs="Times New Roman"/>
          <w:bCs/>
        </w:rPr>
        <w:t xml:space="preserve">The vulnerability module estimates household flood damage using depth–damage curves for residential structures and contents provided by the U.S. Army Corps of Engineers </w:t>
      </w:r>
      <w:r w:rsidR="0006690C" w:rsidRPr="00D458EF">
        <w:rPr>
          <w:rFonts w:ascii="Times New Roman" w:hAnsi="Times New Roman" w:cs="Times New Roman"/>
          <w:bCs/>
        </w:rPr>
        <w:fldChar w:fldCharType="begin"/>
      </w:r>
      <w:r w:rsidR="000A6435">
        <w:rPr>
          <w:rFonts w:ascii="Times New Roman" w:hAnsi="Times New Roman" w:cs="Times New Roman"/>
          <w:bCs/>
        </w:rPr>
        <w:instrText xml:space="preserve"> ADDIN ZOTERO_ITEM CSL_CITATION {"citationID":"w7hh3WCY","properties":{"formattedCitation":"(USACE, 2006)","plainCitation":"(USACE, 2006)","noteIndex":0},"citationItems":[{"id":1977,"uris":["http://zotero.org/users/14772686/items/7Z5555LE"],"itemData":{"id":1977,"type":"report","number":"DACW29-00-D-0001, Delivery Order No. 0038","publisher":"U.S. Army Corps of Engineers, New Orleans District","publisher-place":"New Orleans, Louisiana","title":"Depth-Damage Relationships for Structures, Contents, and Vehicles and Content-to-Structure Value Ratios (CSVR) in Support of the Donaldsonville to the Gulf, Louisiana, Feasibility Study","author":[{"literal":"USACE"}],"issued":{"date-parts":[["2006",3]]}}}],"schema":"https://github.com/citation-style-language/schema/raw/master/csl-citation.json"} </w:instrText>
      </w:r>
      <w:r w:rsidR="0006690C" w:rsidRPr="00D458EF">
        <w:rPr>
          <w:rFonts w:ascii="Times New Roman" w:hAnsi="Times New Roman" w:cs="Times New Roman"/>
          <w:bCs/>
        </w:rPr>
        <w:fldChar w:fldCharType="separate"/>
      </w:r>
      <w:r w:rsidR="0006690C" w:rsidRPr="00D458EF">
        <w:rPr>
          <w:rFonts w:ascii="Times New Roman" w:hAnsi="Times New Roman" w:cs="Times New Roman"/>
        </w:rPr>
        <w:t>(USACE, 2006)</w:t>
      </w:r>
      <w:r w:rsidR="0006690C" w:rsidRPr="00D458EF">
        <w:rPr>
          <w:rFonts w:ascii="Times New Roman" w:hAnsi="Times New Roman" w:cs="Times New Roman"/>
          <w:bCs/>
        </w:rPr>
        <w:fldChar w:fldCharType="end"/>
      </w:r>
      <w:r w:rsidR="001852F8" w:rsidRPr="00D458EF">
        <w:rPr>
          <w:rFonts w:ascii="Times New Roman" w:hAnsi="Times New Roman" w:cs="Times New Roman"/>
          <w:bCs/>
        </w:rPr>
        <w:t xml:space="preserve">. These curves describe the relationship between the </w:t>
      </w:r>
      <w:r w:rsidR="0006690C" w:rsidRPr="00D458EF">
        <w:rPr>
          <w:rFonts w:ascii="Times New Roman" w:hAnsi="Times New Roman" w:cs="Times New Roman"/>
          <w:bCs/>
        </w:rPr>
        <w:t>flood</w:t>
      </w:r>
      <w:r w:rsidR="001852F8" w:rsidRPr="00D458EF">
        <w:rPr>
          <w:rFonts w:ascii="Times New Roman" w:hAnsi="Times New Roman" w:cs="Times New Roman"/>
          <w:bCs/>
        </w:rPr>
        <w:t xml:space="preserve"> depth above the first floor and the fraction of </w:t>
      </w:r>
      <w:r w:rsidR="0006690C" w:rsidRPr="00D458EF">
        <w:rPr>
          <w:rFonts w:ascii="Times New Roman" w:hAnsi="Times New Roman" w:cs="Times New Roman"/>
          <w:bCs/>
        </w:rPr>
        <w:t>the RCV</w:t>
      </w:r>
      <w:r w:rsidR="001852F8" w:rsidRPr="00D458EF">
        <w:rPr>
          <w:rFonts w:ascii="Times New Roman" w:hAnsi="Times New Roman" w:cs="Times New Roman"/>
          <w:bCs/>
        </w:rPr>
        <w:t xml:space="preserve"> damaged</w:t>
      </w:r>
      <w:r w:rsidR="0006690C" w:rsidRPr="00D458EF">
        <w:rPr>
          <w:rFonts w:ascii="Times New Roman" w:hAnsi="Times New Roman" w:cs="Times New Roman"/>
          <w:bCs/>
        </w:rPr>
        <w:t xml:space="preserve"> </w:t>
      </w:r>
      <w:r w:rsidR="00450ECB" w:rsidRPr="00D458EF">
        <w:rPr>
          <w:rFonts w:ascii="Times New Roman" w:hAnsi="Times New Roman" w:cs="Times New Roman"/>
          <w:bCs/>
        </w:rPr>
        <w:t>for</w:t>
      </w:r>
      <w:r w:rsidR="0006690C" w:rsidRPr="00D458EF">
        <w:rPr>
          <w:rFonts w:ascii="Times New Roman" w:hAnsi="Times New Roman" w:cs="Times New Roman"/>
          <w:bCs/>
        </w:rPr>
        <w:t xml:space="preserve"> structures and contents</w:t>
      </w:r>
      <w:r w:rsidR="001852F8" w:rsidRPr="00D458EF">
        <w:rPr>
          <w:rFonts w:ascii="Times New Roman" w:hAnsi="Times New Roman" w:cs="Times New Roman"/>
          <w:bCs/>
        </w:rPr>
        <w:t>.</w:t>
      </w:r>
    </w:p>
    <w:p w14:paraId="7C72D273" w14:textId="77777777" w:rsidR="001852F8" w:rsidRPr="00D458EF" w:rsidRDefault="001852F8" w:rsidP="00F91534">
      <w:pPr>
        <w:pStyle w:val="a3"/>
        <w:spacing w:line="360" w:lineRule="auto"/>
        <w:ind w:leftChars="0" w:left="1440"/>
        <w:jc w:val="both"/>
        <w:rPr>
          <w:rFonts w:ascii="Times New Roman" w:hAnsi="Times New Roman" w:cs="Times New Roman"/>
          <w:bCs/>
        </w:rPr>
      </w:pPr>
    </w:p>
    <w:p w14:paraId="7981212C" w14:textId="6C9BA1ED" w:rsidR="0090180F" w:rsidRPr="00D458EF" w:rsidRDefault="003F1069" w:rsidP="00F91534">
      <w:pPr>
        <w:pStyle w:val="a3"/>
        <w:numPr>
          <w:ilvl w:val="0"/>
          <w:numId w:val="32"/>
        </w:numPr>
        <w:spacing w:line="360" w:lineRule="auto"/>
        <w:ind w:leftChars="0"/>
        <w:jc w:val="both"/>
        <w:rPr>
          <w:rFonts w:ascii="Times New Roman" w:hAnsi="Times New Roman" w:cs="Times New Roman"/>
          <w:bCs/>
        </w:rPr>
      </w:pPr>
      <w:r w:rsidRPr="00D458EF">
        <w:rPr>
          <w:rFonts w:ascii="Times New Roman" w:hAnsi="Times New Roman" w:cs="Times New Roman"/>
          <w:bCs/>
        </w:rPr>
        <w:t>Gross loss estimation</w:t>
      </w:r>
    </w:p>
    <w:p w14:paraId="35502B7A" w14:textId="3B74EB7A" w:rsidR="0090180F" w:rsidRPr="00D458EF" w:rsidRDefault="00B566CB" w:rsidP="002C688C">
      <w:pPr>
        <w:pStyle w:val="a3"/>
        <w:spacing w:line="360" w:lineRule="auto"/>
        <w:ind w:leftChars="0" w:left="1440"/>
        <w:jc w:val="both"/>
        <w:rPr>
          <w:rFonts w:ascii="Times New Roman" w:hAnsi="Times New Roman" w:cs="Times New Roman"/>
          <w:bCs/>
        </w:rPr>
      </w:pPr>
      <w:r>
        <w:rPr>
          <w:rFonts w:ascii="Times New Roman" w:hAnsi="Times New Roman" w:cs="Times New Roman"/>
          <w:bCs/>
        </w:rPr>
        <w:tab/>
      </w:r>
      <w:r w:rsidR="002C688C" w:rsidRPr="002C688C">
        <w:rPr>
          <w:rFonts w:ascii="Times New Roman" w:hAnsi="Times New Roman" w:cs="Times New Roman"/>
          <w:bCs/>
        </w:rPr>
        <w:t xml:space="preserve">For household </w:t>
      </w:r>
      <m:oMath>
        <m:r>
          <w:rPr>
            <w:rFonts w:ascii="Cambria Math" w:hAnsi="Cambria Math" w:cs="Times New Roman"/>
          </w:rPr>
          <m:t xml:space="preserve">g </m:t>
        </m:r>
      </m:oMath>
      <w:r w:rsidR="002C688C" w:rsidRPr="002C688C">
        <w:rPr>
          <w:rFonts w:ascii="Times New Roman" w:hAnsi="Times New Roman" w:cs="Times New Roman"/>
          <w:bCs/>
        </w:rPr>
        <w:t xml:space="preserve">located in tract </w:t>
      </w:r>
      <m:oMath>
        <m:r>
          <w:rPr>
            <w:rFonts w:ascii="Cambria Math" w:hAnsi="Cambria Math" w:cs="Times New Roman"/>
          </w:rPr>
          <m:t>i</m:t>
        </m:r>
      </m:oMath>
      <w:r w:rsidR="002C688C" w:rsidRPr="002C688C">
        <w:rPr>
          <w:rFonts w:ascii="Times New Roman" w:hAnsi="Times New Roman" w:cs="Times New Roman"/>
          <w:bCs/>
        </w:rPr>
        <w:t xml:space="preserve">, the tract-level mean peak flood depth </w:t>
      </w:r>
      <m:oMath>
        <m:sSubSup>
          <m:sSubSupPr>
            <m:ctrlPr>
              <w:rPr>
                <w:rFonts w:ascii="Cambria Math" w:hAnsi="Cambria Math" w:cs="Times New Roman"/>
                <w:bCs/>
              </w:rPr>
            </m:ctrlPr>
          </m:sSubSupPr>
          <m:e>
            <m:acc>
              <m:accPr>
                <m:chr m:val="ˉ"/>
                <m:ctrlPr>
                  <w:rPr>
                    <w:rFonts w:ascii="Cambria Math" w:hAnsi="Cambria Math" w:cs="Times New Roman"/>
                    <w:bCs/>
                  </w:rPr>
                </m:ctrlPr>
              </m:accPr>
              <m:e>
                <m:r>
                  <w:rPr>
                    <w:rFonts w:ascii="Cambria Math" w:hAnsi="Cambria Math" w:cs="Times New Roman"/>
                  </w:rPr>
                  <m:t>D</m:t>
                </m:r>
              </m:e>
            </m:acc>
          </m:e>
          <m:sub>
            <m:r>
              <w:rPr>
                <w:rFonts w:ascii="Cambria Math" w:hAnsi="Cambria Math" w:cs="Times New Roman"/>
              </w:rPr>
              <m:t>t</m:t>
            </m:r>
          </m:sub>
          <m:sup>
            <m:d>
              <m:dPr>
                <m:ctrlPr>
                  <w:rPr>
                    <w:rFonts w:ascii="Cambria Math" w:hAnsi="Cambria Math" w:cs="Times New Roman"/>
                    <w:bCs/>
                  </w:rPr>
                </m:ctrlPr>
              </m:dPr>
              <m:e>
                <m:r>
                  <w:rPr>
                    <w:rFonts w:ascii="Cambria Math" w:hAnsi="Cambria Math" w:cs="Times New Roman"/>
                  </w:rPr>
                  <m:t>i</m:t>
                </m:r>
              </m:e>
            </m:d>
          </m:sup>
        </m:sSubSup>
      </m:oMath>
      <w:r w:rsidR="002C688C" w:rsidRPr="002C688C">
        <w:rPr>
          <w:rFonts w:ascii="Times New Roman" w:hAnsi="Times New Roman" w:cs="Times New Roman"/>
          <w:bCs/>
        </w:rPr>
        <w:t xml:space="preserve">is converted into percentage damages using the depth–damage functions </w:t>
      </w:r>
      <m:oMath>
        <m:sSub>
          <m:sSubPr>
            <m:ctrlPr>
              <w:rPr>
                <w:rFonts w:ascii="Cambria Math" w:hAnsi="Cambria Math" w:cs="Times New Roman"/>
                <w:bCs/>
              </w:rPr>
            </m:ctrlPr>
          </m:sSubPr>
          <m:e>
            <m:r>
              <w:rPr>
                <w:rFonts w:ascii="Cambria Math" w:hAnsi="Cambria Math" w:cs="Times New Roman"/>
              </w:rPr>
              <m:t>f</m:t>
            </m:r>
          </m:e>
          <m:sub>
            <m:r>
              <m:rPr>
                <m:nor/>
              </m:rPr>
              <w:rPr>
                <w:rFonts w:ascii="Times New Roman" w:hAnsi="Times New Roman" w:cs="Times New Roman"/>
                <w:bCs/>
              </w:rPr>
              <m:t>str</m:t>
            </m:r>
          </m:sub>
        </m:sSub>
      </m:oMath>
      <w:r w:rsidR="002C688C" w:rsidRPr="002C688C">
        <w:rPr>
          <w:rFonts w:ascii="Times New Roman" w:hAnsi="Times New Roman" w:cs="Times New Roman"/>
          <w:bCs/>
        </w:rPr>
        <w:t xml:space="preserve">for structures and </w:t>
      </w:r>
      <m:oMath>
        <m:sSub>
          <m:sSubPr>
            <m:ctrlPr>
              <w:rPr>
                <w:rFonts w:ascii="Cambria Math" w:hAnsi="Cambria Math" w:cs="Times New Roman"/>
                <w:bCs/>
              </w:rPr>
            </m:ctrlPr>
          </m:sSubPr>
          <m:e>
            <m:r>
              <w:rPr>
                <w:rFonts w:ascii="Cambria Math" w:hAnsi="Cambria Math" w:cs="Times New Roman"/>
              </w:rPr>
              <m:t>f</m:t>
            </m:r>
          </m:e>
          <m:sub>
            <m:r>
              <m:rPr>
                <m:nor/>
              </m:rPr>
              <w:rPr>
                <w:rFonts w:ascii="Times New Roman" w:hAnsi="Times New Roman" w:cs="Times New Roman"/>
                <w:bCs/>
              </w:rPr>
              <m:t>cnt</m:t>
            </m:r>
          </m:sub>
        </m:sSub>
      </m:oMath>
      <w:r w:rsidR="002C688C" w:rsidRPr="002C688C">
        <w:rPr>
          <w:rFonts w:ascii="Times New Roman" w:hAnsi="Times New Roman" w:cs="Times New Roman"/>
          <w:bCs/>
        </w:rPr>
        <w:t>for contents. Household-level flood damage is calculated as</w:t>
      </w:r>
      <w:r w:rsidR="002C688C">
        <w:rPr>
          <w:rFonts w:ascii="Times New Roman" w:hAnsi="Times New Roman" w:cs="Times New Roman" w:hint="eastAsia"/>
          <w:bCs/>
        </w:rPr>
        <w:t>:</w:t>
      </w:r>
    </w:p>
    <w:tbl>
      <w:tblPr>
        <w:tblStyle w:val="aa"/>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7113"/>
        <w:gridCol w:w="571"/>
      </w:tblGrid>
      <w:tr w:rsidR="0090180F" w:rsidRPr="00D458EF" w14:paraId="205C6CD8" w14:textId="77777777" w:rsidTr="00CB0EA5">
        <w:tc>
          <w:tcPr>
            <w:tcW w:w="236" w:type="dxa"/>
          </w:tcPr>
          <w:p w14:paraId="7619A9FB" w14:textId="77777777" w:rsidR="0090180F" w:rsidRPr="00D458EF" w:rsidRDefault="0090180F" w:rsidP="005B487C">
            <w:pPr>
              <w:pStyle w:val="a3"/>
              <w:spacing w:line="360" w:lineRule="auto"/>
              <w:ind w:leftChars="0" w:left="0"/>
              <w:rPr>
                <w:rFonts w:ascii="Times New Roman" w:hAnsi="Times New Roman" w:cs="Times New Roman"/>
                <w:bCs/>
              </w:rPr>
            </w:pPr>
          </w:p>
        </w:tc>
        <w:tc>
          <w:tcPr>
            <w:tcW w:w="7113" w:type="dxa"/>
          </w:tcPr>
          <w:p w14:paraId="519AF100" w14:textId="29EDF913" w:rsidR="0090180F" w:rsidRPr="00D458EF" w:rsidRDefault="00271330" w:rsidP="008C0CD9">
            <w:pPr>
              <w:spacing w:line="360" w:lineRule="auto"/>
              <w:rPr>
                <w:rFonts w:ascii="Times New Roman" w:hAnsi="Times New Roman" w:cs="Times New Roman"/>
                <w:bCs/>
              </w:rPr>
            </w:pPr>
            <m:oMathPara>
              <m:oMathParaPr>
                <m:jc m:val="center"/>
              </m:oMathParaPr>
              <m:oMath>
                <m:sSubSup>
                  <m:sSubSupPr>
                    <m:ctrlPr>
                      <w:rPr>
                        <w:rFonts w:ascii="Cambria Math" w:hAnsi="Cambria Math"/>
                        <w:i/>
                      </w:rPr>
                    </m:ctrlPr>
                  </m:sSubSupPr>
                  <m:e>
                    <m:r>
                      <w:rPr>
                        <w:rFonts w:ascii="Cambria Math" w:hAnsi="Cambria Math"/>
                      </w:rPr>
                      <m:t>D</m:t>
                    </m:r>
                  </m:e>
                  <m:sub>
                    <m:r>
                      <w:rPr>
                        <w:rFonts w:ascii="Cambria Math" w:hAnsi="Cambria Math"/>
                      </w:rPr>
                      <m:t>g,i,t</m:t>
                    </m:r>
                  </m:sub>
                  <m:sup>
                    <m:r>
                      <w:rPr>
                        <w:rFonts w:ascii="Cambria Math" w:hAnsi="Cambria Math"/>
                      </w:rPr>
                      <m:t>str</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str</m:t>
                    </m:r>
                  </m:sub>
                </m:sSub>
                <m:r>
                  <w:rPr>
                    <w:rFonts w:ascii="Cambria Math" w:hAnsi="Cambria Math"/>
                  </w:rPr>
                  <m:t>(</m:t>
                </m:r>
                <m:sSubSup>
                  <m:sSubSupPr>
                    <m:ctrlPr>
                      <w:rPr>
                        <w:rFonts w:ascii="Cambria Math" w:hAnsi="Cambria Math"/>
                      </w:rPr>
                    </m:ctrlPr>
                  </m:sSubSupPr>
                  <m:e>
                    <m:acc>
                      <m:accPr>
                        <m:chr m:val="ˉ"/>
                        <m:ctrlPr>
                          <w:rPr>
                            <w:rFonts w:ascii="Cambria Math" w:hAnsi="Cambria Math"/>
                          </w:rPr>
                        </m:ctrlPr>
                      </m:accPr>
                      <m:e>
                        <m:r>
                          <w:rPr>
                            <w:rFonts w:ascii="Cambria Math" w:hAnsi="Cambria Math"/>
                          </w:rPr>
                          <m:t>d</m:t>
                        </m:r>
                      </m:e>
                    </m:acc>
                  </m:e>
                  <m:sub>
                    <m:r>
                      <w:rPr>
                        <w:rFonts w:ascii="Cambria Math" w:hAnsi="Cambria Math"/>
                      </w:rPr>
                      <m:t>t</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RCV</m:t>
                    </m:r>
                  </m:e>
                  <m:sub>
                    <m:r>
                      <w:rPr>
                        <w:rFonts w:ascii="Cambria Math" w:hAnsi="Cambria Math"/>
                      </w:rPr>
                      <m:t>g</m:t>
                    </m:r>
                  </m:sub>
                  <m:sup>
                    <m:r>
                      <w:rPr>
                        <w:rFonts w:ascii="Cambria Math" w:hAnsi="Cambria Math"/>
                      </w:rPr>
                      <m:t>str</m:t>
                    </m:r>
                  </m:sup>
                </m:sSubSup>
              </m:oMath>
            </m:oMathPara>
          </w:p>
        </w:tc>
        <w:tc>
          <w:tcPr>
            <w:tcW w:w="571" w:type="dxa"/>
            <w:vAlign w:val="center"/>
          </w:tcPr>
          <w:p w14:paraId="401C7FB7" w14:textId="4762807F" w:rsidR="0090180F" w:rsidRPr="00D458EF" w:rsidRDefault="00CB0EA5" w:rsidP="002321BB">
            <w:pPr>
              <w:pStyle w:val="a3"/>
              <w:spacing w:line="360" w:lineRule="auto"/>
              <w:ind w:leftChars="0" w:left="0"/>
              <w:jc w:val="right"/>
              <w:rPr>
                <w:rFonts w:ascii="Times New Roman" w:hAnsi="Times New Roman" w:cs="Times New Roman"/>
                <w:bCs/>
              </w:rPr>
            </w:pPr>
            <w:r>
              <w:rPr>
                <w:rFonts w:ascii="Times New Roman" w:hAnsi="Times New Roman" w:cs="Times New Roman" w:hint="eastAsia"/>
                <w:bCs/>
              </w:rPr>
              <w:t>(6)</w:t>
            </w:r>
          </w:p>
        </w:tc>
      </w:tr>
      <w:tr w:rsidR="009314E7" w:rsidRPr="00D458EF" w14:paraId="0B36A89A" w14:textId="77777777" w:rsidTr="00CB0EA5">
        <w:tc>
          <w:tcPr>
            <w:tcW w:w="236" w:type="dxa"/>
          </w:tcPr>
          <w:p w14:paraId="730324D4" w14:textId="77777777" w:rsidR="009314E7" w:rsidRPr="00D458EF" w:rsidRDefault="009314E7" w:rsidP="005B487C">
            <w:pPr>
              <w:pStyle w:val="a3"/>
              <w:spacing w:line="360" w:lineRule="auto"/>
              <w:ind w:leftChars="0" w:left="0"/>
              <w:rPr>
                <w:rFonts w:ascii="Times New Roman" w:hAnsi="Times New Roman" w:cs="Times New Roman"/>
                <w:bCs/>
              </w:rPr>
            </w:pPr>
          </w:p>
        </w:tc>
        <w:tc>
          <w:tcPr>
            <w:tcW w:w="7113" w:type="dxa"/>
          </w:tcPr>
          <w:p w14:paraId="5AA8C583" w14:textId="264B6176" w:rsidR="009314E7" w:rsidRPr="00D458EF" w:rsidRDefault="00271330" w:rsidP="005B487C">
            <w:pPr>
              <w:spacing w:line="360" w:lineRule="auto"/>
              <w:rPr>
                <w:rFonts w:ascii="Times New Roman" w:eastAsia="新細明體" w:hAnsi="Times New Roman" w:cs="Times New Roman"/>
                <w:bCs/>
              </w:rPr>
            </w:pPr>
            <m:oMathPara>
              <m:oMath>
                <m:sSubSup>
                  <m:sSubSupPr>
                    <m:ctrlPr>
                      <w:rPr>
                        <w:rFonts w:ascii="Cambria Math" w:hAnsi="Cambria Math"/>
                        <w:i/>
                      </w:rPr>
                    </m:ctrlPr>
                  </m:sSubSupPr>
                  <m:e>
                    <m:r>
                      <w:rPr>
                        <w:rFonts w:ascii="Cambria Math" w:hAnsi="Cambria Math"/>
                      </w:rPr>
                      <m:t>D</m:t>
                    </m:r>
                  </m:e>
                  <m:sub>
                    <m:r>
                      <w:rPr>
                        <w:rFonts w:ascii="Cambria Math" w:hAnsi="Cambria Math"/>
                      </w:rPr>
                      <m:t>g,i,t</m:t>
                    </m:r>
                  </m:sub>
                  <m:sup>
                    <m:r>
                      <w:rPr>
                        <w:rFonts w:ascii="Cambria Math" w:hAnsi="Cambria Math"/>
                      </w:rPr>
                      <m:t>cnt</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cnt</m:t>
                    </m:r>
                  </m:sub>
                </m:sSub>
                <m:r>
                  <w:rPr>
                    <w:rFonts w:ascii="Cambria Math" w:hAnsi="Cambria Math"/>
                  </w:rPr>
                  <m:t>(</m:t>
                </m:r>
                <m:sSubSup>
                  <m:sSubSupPr>
                    <m:ctrlPr>
                      <w:rPr>
                        <w:rFonts w:ascii="Cambria Math" w:hAnsi="Cambria Math"/>
                      </w:rPr>
                    </m:ctrlPr>
                  </m:sSubSupPr>
                  <m:e>
                    <m:acc>
                      <m:accPr>
                        <m:chr m:val="ˉ"/>
                        <m:ctrlPr>
                          <w:rPr>
                            <w:rFonts w:ascii="Cambria Math" w:hAnsi="Cambria Math"/>
                          </w:rPr>
                        </m:ctrlPr>
                      </m:accPr>
                      <m:e>
                        <m:r>
                          <w:rPr>
                            <w:rFonts w:ascii="Cambria Math" w:hAnsi="Cambria Math"/>
                          </w:rPr>
                          <m:t>d</m:t>
                        </m:r>
                      </m:e>
                    </m:acc>
                  </m:e>
                  <m:sub>
                    <m:r>
                      <w:rPr>
                        <w:rFonts w:ascii="Cambria Math" w:hAnsi="Cambria Math"/>
                      </w:rPr>
                      <m:t>t</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RCV</m:t>
                    </m:r>
                  </m:e>
                  <m:sub>
                    <m:r>
                      <w:rPr>
                        <w:rFonts w:ascii="Cambria Math" w:hAnsi="Cambria Math"/>
                      </w:rPr>
                      <m:t>g</m:t>
                    </m:r>
                  </m:sub>
                  <m:sup>
                    <m:r>
                      <w:rPr>
                        <w:rFonts w:ascii="Cambria Math" w:hAnsi="Cambria Math"/>
                      </w:rPr>
                      <m:t>cnt</m:t>
                    </m:r>
                  </m:sup>
                </m:sSubSup>
              </m:oMath>
            </m:oMathPara>
          </w:p>
        </w:tc>
        <w:tc>
          <w:tcPr>
            <w:tcW w:w="571" w:type="dxa"/>
            <w:vAlign w:val="center"/>
          </w:tcPr>
          <w:p w14:paraId="17AE0D08" w14:textId="019A1431" w:rsidR="009314E7" w:rsidRPr="00D458EF" w:rsidRDefault="00CB0EA5" w:rsidP="002321BB">
            <w:pPr>
              <w:pStyle w:val="a3"/>
              <w:spacing w:line="360" w:lineRule="auto"/>
              <w:ind w:leftChars="0" w:left="0"/>
              <w:jc w:val="right"/>
              <w:rPr>
                <w:rFonts w:ascii="Times New Roman" w:hAnsi="Times New Roman" w:cs="Times New Roman"/>
                <w:bCs/>
              </w:rPr>
            </w:pPr>
            <w:r>
              <w:rPr>
                <w:rFonts w:ascii="Times New Roman" w:hAnsi="Times New Roman" w:cs="Times New Roman" w:hint="eastAsia"/>
                <w:bCs/>
              </w:rPr>
              <w:t>(7)</w:t>
            </w:r>
          </w:p>
        </w:tc>
      </w:tr>
    </w:tbl>
    <w:p w14:paraId="31BA0395" w14:textId="651341C8" w:rsidR="002A3765" w:rsidRPr="002A3765" w:rsidRDefault="002A3765" w:rsidP="002A3765">
      <w:pPr>
        <w:pStyle w:val="a3"/>
        <w:spacing w:line="360" w:lineRule="auto"/>
        <w:ind w:leftChars="644" w:left="1417"/>
        <w:rPr>
          <w:rFonts w:ascii="Times New Roman" w:hAnsi="Times New Roman" w:cs="Times New Roman"/>
          <w:bCs/>
          <w:lang w:val="en-US"/>
        </w:rPr>
      </w:pPr>
      <w:r w:rsidRPr="002A3765">
        <w:rPr>
          <w:rFonts w:ascii="Times New Roman" w:hAnsi="Times New Roman" w:cs="Times New Roman"/>
          <w:bCs/>
          <w:lang w:val="en-US"/>
        </w:rPr>
        <w:t xml:space="preserve">where </w:t>
      </w:r>
      <m:oMath>
        <m:sSubSup>
          <m:sSubSupPr>
            <m:ctrlPr>
              <w:rPr>
                <w:rFonts w:ascii="Cambria Math" w:hAnsi="Cambria Math" w:cs="Times New Roman"/>
                <w:bCs/>
                <w:lang w:val="en-US"/>
              </w:rPr>
            </m:ctrlPr>
          </m:sSubSupPr>
          <m:e>
            <m:r>
              <w:rPr>
                <w:rFonts w:ascii="Cambria Math" w:hAnsi="Cambria Math" w:cs="Times New Roman"/>
                <w:lang w:val="en-US"/>
              </w:rPr>
              <m:t>D</m:t>
            </m:r>
          </m:e>
          <m:sub>
            <m:r>
              <w:rPr>
                <w:rFonts w:ascii="Cambria Math" w:hAnsi="Cambria Math" w:cs="Times New Roman"/>
                <w:lang w:val="en-US"/>
              </w:rPr>
              <m:t>g,i,t</m:t>
            </m:r>
          </m:sub>
          <m:sup>
            <m:r>
              <m:rPr>
                <m:nor/>
              </m:rPr>
              <w:rPr>
                <w:rFonts w:ascii="Times New Roman" w:hAnsi="Times New Roman" w:cs="Times New Roman"/>
                <w:bCs/>
                <w:lang w:val="en-US"/>
              </w:rPr>
              <m:t>str</m:t>
            </m:r>
          </m:sup>
        </m:sSubSup>
      </m:oMath>
      <w:r w:rsidRPr="002A3765">
        <w:rPr>
          <w:rFonts w:ascii="Times New Roman" w:hAnsi="Times New Roman" w:cs="Times New Roman"/>
          <w:bCs/>
          <w:lang w:val="en-US"/>
        </w:rPr>
        <w:t xml:space="preserve">and </w:t>
      </w:r>
      <m:oMath>
        <m:sSubSup>
          <m:sSubSupPr>
            <m:ctrlPr>
              <w:rPr>
                <w:rFonts w:ascii="Cambria Math" w:hAnsi="Cambria Math" w:cs="Times New Roman"/>
                <w:bCs/>
                <w:lang w:val="en-US"/>
              </w:rPr>
            </m:ctrlPr>
          </m:sSubSupPr>
          <m:e>
            <m:r>
              <w:rPr>
                <w:rFonts w:ascii="Cambria Math" w:hAnsi="Cambria Math" w:cs="Times New Roman"/>
                <w:lang w:val="en-US"/>
              </w:rPr>
              <m:t>D</m:t>
            </m:r>
          </m:e>
          <m:sub>
            <m:r>
              <w:rPr>
                <w:rFonts w:ascii="Cambria Math" w:hAnsi="Cambria Math" w:cs="Times New Roman"/>
                <w:lang w:val="en-US"/>
              </w:rPr>
              <m:t>g,i,t</m:t>
            </m:r>
          </m:sub>
          <m:sup>
            <m:r>
              <m:rPr>
                <m:nor/>
              </m:rPr>
              <w:rPr>
                <w:rFonts w:ascii="Times New Roman" w:hAnsi="Times New Roman" w:cs="Times New Roman"/>
                <w:bCs/>
                <w:lang w:val="en-US"/>
              </w:rPr>
              <m:t>cnt</m:t>
            </m:r>
          </m:sup>
        </m:sSubSup>
      </m:oMath>
      <w:r w:rsidRPr="002A3765">
        <w:rPr>
          <w:rFonts w:ascii="Times New Roman" w:hAnsi="Times New Roman" w:cs="Times New Roman"/>
          <w:bCs/>
          <w:lang w:val="en-US"/>
        </w:rPr>
        <w:t>denote flood damage to structures and contents, respectively.</w:t>
      </w:r>
    </w:p>
    <w:p w14:paraId="3C913FED" w14:textId="4BAE9F75" w:rsidR="00EA2253" w:rsidRPr="002A3765" w:rsidRDefault="002A3765" w:rsidP="002A3765">
      <w:pPr>
        <w:pStyle w:val="a3"/>
        <w:spacing w:line="360" w:lineRule="auto"/>
        <w:ind w:leftChars="644" w:left="1417"/>
        <w:rPr>
          <w:rFonts w:ascii="Times New Roman" w:hAnsi="Times New Roman" w:cs="Times New Roman"/>
          <w:bCs/>
          <w:lang w:val="en-US"/>
        </w:rPr>
      </w:pPr>
      <w:r w:rsidRPr="002A3765">
        <w:rPr>
          <w:rFonts w:ascii="Times New Roman" w:hAnsi="Times New Roman" w:cs="Times New Roman"/>
          <w:bCs/>
          <w:lang w:val="en-US"/>
        </w:rPr>
        <w:t>Total household flood damage is defined as:</w:t>
      </w:r>
    </w:p>
    <w:tbl>
      <w:tblPr>
        <w:tblStyle w:val="aa"/>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7113"/>
        <w:gridCol w:w="571"/>
      </w:tblGrid>
      <w:tr w:rsidR="00FB169C" w:rsidRPr="00D458EF" w14:paraId="3E239227" w14:textId="77777777" w:rsidTr="00CB0EA5">
        <w:tc>
          <w:tcPr>
            <w:tcW w:w="236" w:type="dxa"/>
          </w:tcPr>
          <w:p w14:paraId="2E9F29E5" w14:textId="77777777" w:rsidR="00FB169C" w:rsidRPr="00D458EF" w:rsidRDefault="00FB169C" w:rsidP="005B487C">
            <w:pPr>
              <w:pStyle w:val="a3"/>
              <w:spacing w:line="360" w:lineRule="auto"/>
              <w:ind w:leftChars="0" w:left="0"/>
              <w:rPr>
                <w:rFonts w:ascii="Times New Roman" w:hAnsi="Times New Roman" w:cs="Times New Roman"/>
                <w:bCs/>
              </w:rPr>
            </w:pPr>
          </w:p>
        </w:tc>
        <w:tc>
          <w:tcPr>
            <w:tcW w:w="7113" w:type="dxa"/>
          </w:tcPr>
          <w:p w14:paraId="2B170B3D" w14:textId="643DE88D" w:rsidR="00FB169C" w:rsidRPr="00D458EF" w:rsidRDefault="00271330" w:rsidP="005B487C">
            <w:pPr>
              <w:spacing w:line="360" w:lineRule="auto"/>
              <w:rPr>
                <w:rFonts w:ascii="Times New Roman" w:eastAsia="新細明體" w:hAnsi="Times New Roman" w:cs="Times New Roman"/>
                <w:bCs/>
              </w:rPr>
            </w:pPr>
            <m:oMathPara>
              <m:oMath>
                <m:sSubSup>
                  <m:sSubSupPr>
                    <m:ctrlPr>
                      <w:rPr>
                        <w:rFonts w:ascii="Cambria Math" w:hAnsi="Cambria Math" w:cs="Times New Roman"/>
                        <w:bCs/>
                        <w:lang w:val="en-US"/>
                      </w:rPr>
                    </m:ctrlPr>
                  </m:sSubSupPr>
                  <m:e>
                    <m:r>
                      <w:rPr>
                        <w:rFonts w:ascii="Cambria Math" w:hAnsi="Cambria Math" w:cs="Times New Roman"/>
                        <w:lang w:val="en-US"/>
                      </w:rPr>
                      <m:t>D</m:t>
                    </m:r>
                  </m:e>
                  <m:sub>
                    <m:r>
                      <w:rPr>
                        <w:rFonts w:ascii="Cambria Math" w:hAnsi="Cambria Math" w:cs="Times New Roman"/>
                        <w:lang w:val="en-US"/>
                      </w:rPr>
                      <m:t>g,i,t</m:t>
                    </m:r>
                  </m:sub>
                  <m:sup>
                    <m:r>
                      <m:rPr>
                        <m:nor/>
                      </m:rPr>
                      <w:rPr>
                        <w:rFonts w:ascii="Times New Roman" w:hAnsi="Times New Roman" w:cs="Times New Roman"/>
                        <w:bCs/>
                        <w:lang w:val="en-US"/>
                      </w:rPr>
                      <m:t>owner</m:t>
                    </m:r>
                  </m:sup>
                </m:sSubSup>
                <m:r>
                  <w:rPr>
                    <w:rFonts w:ascii="Cambria Math" w:hAnsi="Cambria Math" w:cs="Times New Roman"/>
                    <w:lang w:val="en-US"/>
                  </w:rPr>
                  <m:t>=</m:t>
                </m:r>
                <m:sSubSup>
                  <m:sSubSupPr>
                    <m:ctrlPr>
                      <w:rPr>
                        <w:rFonts w:ascii="Cambria Math" w:hAnsi="Cambria Math" w:cs="Times New Roman"/>
                        <w:bCs/>
                        <w:lang w:val="en-US"/>
                      </w:rPr>
                    </m:ctrlPr>
                  </m:sSubSupPr>
                  <m:e>
                    <m:r>
                      <w:rPr>
                        <w:rFonts w:ascii="Cambria Math" w:hAnsi="Cambria Math" w:cs="Times New Roman"/>
                        <w:lang w:val="en-US"/>
                      </w:rPr>
                      <m:t>D</m:t>
                    </m:r>
                  </m:e>
                  <m:sub>
                    <m:r>
                      <w:rPr>
                        <w:rFonts w:ascii="Cambria Math" w:hAnsi="Cambria Math" w:cs="Times New Roman"/>
                        <w:lang w:val="en-US"/>
                      </w:rPr>
                      <m:t>g,i,t</m:t>
                    </m:r>
                  </m:sub>
                  <m:sup>
                    <m:r>
                      <m:rPr>
                        <m:nor/>
                      </m:rPr>
                      <w:rPr>
                        <w:rFonts w:ascii="Times New Roman" w:hAnsi="Times New Roman" w:cs="Times New Roman"/>
                        <w:bCs/>
                        <w:lang w:val="en-US"/>
                      </w:rPr>
                      <m:t>str</m:t>
                    </m:r>
                  </m:sup>
                </m:sSubSup>
                <m:r>
                  <w:rPr>
                    <w:rFonts w:ascii="Cambria Math" w:hAnsi="Cambria Math" w:cs="Times New Roman"/>
                    <w:lang w:val="en-US"/>
                  </w:rPr>
                  <m:t>+</m:t>
                </m:r>
                <m:sSubSup>
                  <m:sSubSupPr>
                    <m:ctrlPr>
                      <w:rPr>
                        <w:rFonts w:ascii="Cambria Math" w:hAnsi="Cambria Math" w:cs="Times New Roman"/>
                        <w:bCs/>
                        <w:lang w:val="en-US"/>
                      </w:rPr>
                    </m:ctrlPr>
                  </m:sSubSupPr>
                  <m:e>
                    <m:r>
                      <w:rPr>
                        <w:rFonts w:ascii="Cambria Math" w:hAnsi="Cambria Math" w:cs="Times New Roman"/>
                        <w:lang w:val="en-US"/>
                      </w:rPr>
                      <m:t>D</m:t>
                    </m:r>
                  </m:e>
                  <m:sub>
                    <m:r>
                      <w:rPr>
                        <w:rFonts w:ascii="Cambria Math" w:hAnsi="Cambria Math" w:cs="Times New Roman"/>
                        <w:lang w:val="en-US"/>
                      </w:rPr>
                      <m:t>g,i,t</m:t>
                    </m:r>
                  </m:sub>
                  <m:sup>
                    <m:r>
                      <m:rPr>
                        <m:nor/>
                      </m:rPr>
                      <w:rPr>
                        <w:rFonts w:ascii="Times New Roman" w:hAnsi="Times New Roman" w:cs="Times New Roman"/>
                        <w:bCs/>
                        <w:lang w:val="en-US"/>
                      </w:rPr>
                      <m:t>cnt</m:t>
                    </m:r>
                  </m:sup>
                </m:sSubSup>
                <m:r>
                  <w:rPr>
                    <w:rFonts w:ascii="Cambria Math" w:hAnsi="Cambria Math" w:cs="Times New Roman"/>
                    <w:lang w:val="en-US"/>
                  </w:rPr>
                  <m:t>,</m:t>
                </m:r>
              </m:oMath>
            </m:oMathPara>
          </w:p>
        </w:tc>
        <w:tc>
          <w:tcPr>
            <w:tcW w:w="571" w:type="dxa"/>
            <w:vAlign w:val="center"/>
          </w:tcPr>
          <w:p w14:paraId="2E16DCDB" w14:textId="607B6C94" w:rsidR="00FB169C" w:rsidRPr="00D458EF" w:rsidRDefault="00CB0EA5" w:rsidP="002321BB">
            <w:pPr>
              <w:pStyle w:val="a3"/>
              <w:spacing w:line="360" w:lineRule="auto"/>
              <w:ind w:leftChars="0" w:left="0"/>
              <w:jc w:val="right"/>
              <w:rPr>
                <w:rFonts w:ascii="Times New Roman" w:hAnsi="Times New Roman" w:cs="Times New Roman"/>
                <w:bCs/>
              </w:rPr>
            </w:pPr>
            <w:r>
              <w:rPr>
                <w:rFonts w:ascii="Times New Roman" w:hAnsi="Times New Roman" w:cs="Times New Roman" w:hint="eastAsia"/>
                <w:bCs/>
              </w:rPr>
              <w:t>(8)</w:t>
            </w:r>
          </w:p>
        </w:tc>
      </w:tr>
      <w:tr w:rsidR="002D0BBA" w:rsidRPr="00D458EF" w14:paraId="60EE6D61" w14:textId="77777777" w:rsidTr="00CB0EA5">
        <w:tc>
          <w:tcPr>
            <w:tcW w:w="236" w:type="dxa"/>
          </w:tcPr>
          <w:p w14:paraId="071E5144" w14:textId="77777777" w:rsidR="002D0BBA" w:rsidRPr="00D458EF" w:rsidRDefault="002D0BBA" w:rsidP="002D0BBA">
            <w:pPr>
              <w:pStyle w:val="a3"/>
              <w:spacing w:line="360" w:lineRule="auto"/>
              <w:ind w:leftChars="0" w:left="0"/>
              <w:rPr>
                <w:rFonts w:ascii="Times New Roman" w:hAnsi="Times New Roman" w:cs="Times New Roman"/>
                <w:bCs/>
              </w:rPr>
            </w:pPr>
          </w:p>
        </w:tc>
        <w:tc>
          <w:tcPr>
            <w:tcW w:w="7113" w:type="dxa"/>
          </w:tcPr>
          <w:p w14:paraId="31204EDB" w14:textId="2BBA14E0" w:rsidR="002D0BBA" w:rsidRDefault="00271330" w:rsidP="002D0BBA">
            <w:pPr>
              <w:spacing w:line="360" w:lineRule="auto"/>
              <w:rPr>
                <w:rFonts w:ascii="Times New Roman" w:eastAsia="新細明體" w:hAnsi="Times New Roman" w:cs="Times New Roman"/>
              </w:rPr>
            </w:pPr>
            <m:oMathPara>
              <m:oMath>
                <m:sSubSup>
                  <m:sSubSupPr>
                    <m:ctrlPr>
                      <w:rPr>
                        <w:rFonts w:ascii="Cambria Math" w:hAnsi="Cambria Math" w:cs="Times New Roman"/>
                        <w:bCs/>
                        <w:lang w:val="en-US"/>
                      </w:rPr>
                    </m:ctrlPr>
                  </m:sSubSupPr>
                  <m:e>
                    <m:r>
                      <w:rPr>
                        <w:rFonts w:ascii="Cambria Math" w:hAnsi="Cambria Math" w:cs="Times New Roman"/>
                        <w:lang w:val="en-US"/>
                      </w:rPr>
                      <m:t>D</m:t>
                    </m:r>
                  </m:e>
                  <m:sub>
                    <m:r>
                      <w:rPr>
                        <w:rFonts w:ascii="Cambria Math" w:hAnsi="Cambria Math" w:cs="Times New Roman"/>
                        <w:lang w:val="en-US"/>
                      </w:rPr>
                      <m:t>g,i,t</m:t>
                    </m:r>
                  </m:sub>
                  <m:sup>
                    <m:r>
                      <m:rPr>
                        <m:nor/>
                      </m:rPr>
                      <w:rPr>
                        <w:rFonts w:ascii="Times New Roman" w:hAnsi="Times New Roman" w:cs="Times New Roman"/>
                        <w:bCs/>
                        <w:lang w:val="en-US"/>
                      </w:rPr>
                      <m:t>renter</m:t>
                    </m:r>
                  </m:sup>
                </m:sSubSup>
                <m:r>
                  <w:rPr>
                    <w:rFonts w:ascii="Cambria Math" w:hAnsi="Cambria Math" w:cs="Times New Roman"/>
                    <w:lang w:val="en-US"/>
                  </w:rPr>
                  <m:t>=</m:t>
                </m:r>
                <m:sSubSup>
                  <m:sSubSupPr>
                    <m:ctrlPr>
                      <w:rPr>
                        <w:rFonts w:ascii="Cambria Math" w:hAnsi="Cambria Math" w:cs="Times New Roman"/>
                        <w:bCs/>
                        <w:lang w:val="en-US"/>
                      </w:rPr>
                    </m:ctrlPr>
                  </m:sSubSupPr>
                  <m:e>
                    <m:r>
                      <w:rPr>
                        <w:rFonts w:ascii="Cambria Math" w:hAnsi="Cambria Math" w:cs="Times New Roman"/>
                        <w:lang w:val="en-US"/>
                      </w:rPr>
                      <m:t>D</m:t>
                    </m:r>
                  </m:e>
                  <m:sub>
                    <m:r>
                      <w:rPr>
                        <w:rFonts w:ascii="Cambria Math" w:hAnsi="Cambria Math" w:cs="Times New Roman"/>
                        <w:lang w:val="en-US"/>
                      </w:rPr>
                      <m:t>g,i,t</m:t>
                    </m:r>
                  </m:sub>
                  <m:sup>
                    <m:r>
                      <m:rPr>
                        <m:nor/>
                      </m:rPr>
                      <w:rPr>
                        <w:rFonts w:ascii="Times New Roman" w:hAnsi="Times New Roman" w:cs="Times New Roman"/>
                        <w:bCs/>
                        <w:lang w:val="en-US"/>
                      </w:rPr>
                      <m:t>cnt</m:t>
                    </m:r>
                  </m:sup>
                </m:sSubSup>
              </m:oMath>
            </m:oMathPara>
          </w:p>
        </w:tc>
        <w:tc>
          <w:tcPr>
            <w:tcW w:w="571" w:type="dxa"/>
            <w:vAlign w:val="center"/>
          </w:tcPr>
          <w:p w14:paraId="3F7E0764" w14:textId="72487F96" w:rsidR="002D0BBA" w:rsidRDefault="002D0BBA" w:rsidP="002D0BBA">
            <w:pPr>
              <w:pStyle w:val="a3"/>
              <w:spacing w:line="360" w:lineRule="auto"/>
              <w:ind w:leftChars="0" w:left="0"/>
              <w:jc w:val="right"/>
              <w:rPr>
                <w:rFonts w:ascii="Times New Roman" w:hAnsi="Times New Roman" w:cs="Times New Roman"/>
                <w:bCs/>
              </w:rPr>
            </w:pPr>
            <w:r>
              <w:rPr>
                <w:rFonts w:ascii="Times New Roman" w:hAnsi="Times New Roman" w:cs="Times New Roman" w:hint="eastAsia"/>
                <w:bCs/>
              </w:rPr>
              <w:t xml:space="preserve">(9)  </w:t>
            </w:r>
          </w:p>
        </w:tc>
      </w:tr>
    </w:tbl>
    <w:p w14:paraId="527D8905" w14:textId="0B90C13C" w:rsidR="00DE57ED" w:rsidRPr="000F5448" w:rsidRDefault="000F5448" w:rsidP="000F5448">
      <w:pPr>
        <w:pStyle w:val="a3"/>
        <w:spacing w:line="360" w:lineRule="auto"/>
        <w:ind w:leftChars="0" w:left="1440" w:hanging="22"/>
        <w:jc w:val="both"/>
        <w:rPr>
          <w:rFonts w:ascii="Times New Roman" w:hAnsi="Times New Roman" w:cs="Times New Roman"/>
          <w:bCs/>
          <w:lang w:val="en-US"/>
        </w:rPr>
      </w:pPr>
      <w:r w:rsidRPr="000F5448">
        <w:rPr>
          <w:rFonts w:ascii="Times New Roman" w:hAnsi="Times New Roman" w:cs="Times New Roman"/>
          <w:bCs/>
        </w:rPr>
        <w:t xml:space="preserve">where </w:t>
      </w:r>
      <m:oMath>
        <m:sSubSup>
          <m:sSubSupPr>
            <m:ctrlPr>
              <w:rPr>
                <w:rFonts w:ascii="Cambria Math" w:hAnsi="Cambria Math" w:cs="Times New Roman"/>
                <w:bCs/>
              </w:rPr>
            </m:ctrlPr>
          </m:sSubSupPr>
          <m:e>
            <m:r>
              <w:rPr>
                <w:rFonts w:ascii="Cambria Math" w:hAnsi="Cambria Math" w:cs="Times New Roman"/>
              </w:rPr>
              <m:t>D</m:t>
            </m:r>
          </m:e>
          <m:sub>
            <m:r>
              <w:rPr>
                <w:rFonts w:ascii="Cambria Math" w:hAnsi="Cambria Math" w:cs="Times New Roman"/>
              </w:rPr>
              <m:t>g,i,t</m:t>
            </m:r>
          </m:sub>
          <m:sup>
            <m:r>
              <m:rPr>
                <m:nor/>
              </m:rPr>
              <w:rPr>
                <w:rFonts w:ascii="Times New Roman" w:hAnsi="Times New Roman" w:cs="Times New Roman"/>
                <w:bCs/>
              </w:rPr>
              <m:t>str</m:t>
            </m:r>
          </m:sup>
        </m:sSubSup>
      </m:oMath>
      <w:r w:rsidRPr="000F5448">
        <w:rPr>
          <w:rFonts w:ascii="Times New Roman" w:hAnsi="Times New Roman" w:cs="Times New Roman"/>
          <w:bCs/>
        </w:rPr>
        <w:t xml:space="preserve">and </w:t>
      </w:r>
      <m:oMath>
        <m:sSubSup>
          <m:sSubSupPr>
            <m:ctrlPr>
              <w:rPr>
                <w:rFonts w:ascii="Cambria Math" w:hAnsi="Cambria Math" w:cs="Times New Roman"/>
                <w:bCs/>
              </w:rPr>
            </m:ctrlPr>
          </m:sSubSupPr>
          <m:e>
            <m:r>
              <w:rPr>
                <w:rFonts w:ascii="Cambria Math" w:hAnsi="Cambria Math" w:cs="Times New Roman"/>
              </w:rPr>
              <m:t>D</m:t>
            </m:r>
          </m:e>
          <m:sub>
            <m:r>
              <w:rPr>
                <w:rFonts w:ascii="Cambria Math" w:hAnsi="Cambria Math" w:cs="Times New Roman"/>
              </w:rPr>
              <m:t>g,i,t</m:t>
            </m:r>
          </m:sub>
          <m:sup>
            <m:r>
              <m:rPr>
                <m:nor/>
              </m:rPr>
              <w:rPr>
                <w:rFonts w:ascii="Times New Roman" w:hAnsi="Times New Roman" w:cs="Times New Roman"/>
                <w:bCs/>
              </w:rPr>
              <m:t>cnt</m:t>
            </m:r>
          </m:sup>
        </m:sSubSup>
      </m:oMath>
      <w:r w:rsidRPr="000F5448">
        <w:rPr>
          <w:rFonts w:ascii="Times New Roman" w:hAnsi="Times New Roman" w:cs="Times New Roman"/>
          <w:bCs/>
        </w:rPr>
        <w:t xml:space="preserve">denote flood damage to structures and contents of household </w:t>
      </w:r>
      <m:oMath>
        <m:r>
          <w:rPr>
            <w:rFonts w:ascii="Cambria Math" w:hAnsi="Cambria Math" w:cs="Times New Roman"/>
          </w:rPr>
          <m:t xml:space="preserve">g </m:t>
        </m:r>
      </m:oMath>
      <w:r w:rsidRPr="000F5448">
        <w:rPr>
          <w:rFonts w:ascii="Times New Roman" w:hAnsi="Times New Roman" w:cs="Times New Roman"/>
          <w:bCs/>
        </w:rPr>
        <w:t xml:space="preserve">in tract </w:t>
      </w:r>
      <m:oMath>
        <m:r>
          <w:rPr>
            <w:rFonts w:ascii="Cambria Math" w:hAnsi="Cambria Math" w:cs="Times New Roman"/>
          </w:rPr>
          <m:t xml:space="preserve">i </m:t>
        </m:r>
      </m:oMath>
      <w:r w:rsidRPr="000F5448">
        <w:rPr>
          <w:rFonts w:ascii="Times New Roman" w:hAnsi="Times New Roman" w:cs="Times New Roman"/>
          <w:bCs/>
        </w:rPr>
        <w:t xml:space="preserve">at year </w:t>
      </w:r>
      <m:oMath>
        <m:r>
          <w:rPr>
            <w:rFonts w:ascii="Cambria Math" w:hAnsi="Cambria Math" w:cs="Times New Roman"/>
          </w:rPr>
          <m:t>t</m:t>
        </m:r>
      </m:oMath>
      <w:r w:rsidRPr="000F5448">
        <w:rPr>
          <w:rFonts w:ascii="Times New Roman" w:hAnsi="Times New Roman" w:cs="Times New Roman"/>
          <w:bCs/>
        </w:rPr>
        <w:t>, respectively. For homeowners, total flood damage includes both structural and contents damage, whereas for renters, flood damage consists of contents damage only.</w:t>
      </w:r>
    </w:p>
    <w:p w14:paraId="4D1BEA97" w14:textId="31E0ACBE" w:rsidR="006133EC" w:rsidRPr="00D458EF" w:rsidRDefault="006133EC" w:rsidP="005B487C">
      <w:pPr>
        <w:pStyle w:val="a3"/>
        <w:numPr>
          <w:ilvl w:val="0"/>
          <w:numId w:val="24"/>
        </w:numPr>
        <w:spacing w:line="360" w:lineRule="auto"/>
        <w:ind w:leftChars="0" w:left="964" w:hanging="482"/>
        <w:outlineLvl w:val="2"/>
        <w:rPr>
          <w:rFonts w:ascii="Times New Roman" w:hAnsi="Times New Roman" w:cs="Times New Roman"/>
          <w:bCs/>
        </w:rPr>
      </w:pPr>
      <w:r w:rsidRPr="00D458EF">
        <w:rPr>
          <w:rFonts w:ascii="Times New Roman" w:hAnsi="Times New Roman" w:cs="Times New Roman"/>
          <w:bCs/>
        </w:rPr>
        <w:t>Finance modules</w:t>
      </w:r>
    </w:p>
    <w:p w14:paraId="08B12120" w14:textId="73E46D15" w:rsidR="003F1069" w:rsidRPr="00D458EF" w:rsidRDefault="003F1069" w:rsidP="005B487C">
      <w:pPr>
        <w:pStyle w:val="a3"/>
        <w:numPr>
          <w:ilvl w:val="0"/>
          <w:numId w:val="33"/>
        </w:numPr>
        <w:spacing w:line="360" w:lineRule="auto"/>
        <w:ind w:leftChars="0"/>
        <w:rPr>
          <w:rFonts w:ascii="Times New Roman" w:hAnsi="Times New Roman" w:cs="Times New Roman"/>
          <w:bCs/>
        </w:rPr>
      </w:pPr>
      <w:r w:rsidRPr="00D458EF">
        <w:rPr>
          <w:rFonts w:ascii="Times New Roman" w:hAnsi="Times New Roman" w:cs="Times New Roman"/>
          <w:bCs/>
        </w:rPr>
        <w:t xml:space="preserve">Introduction of NFIP </w:t>
      </w:r>
      <w:r w:rsidR="007365EF" w:rsidRPr="00D458EF">
        <w:rPr>
          <w:rFonts w:ascii="Times New Roman" w:hAnsi="Times New Roman" w:cs="Times New Roman"/>
          <w:bCs/>
        </w:rPr>
        <w:t>and different coverage of renters and homeowners</w:t>
      </w:r>
    </w:p>
    <w:p w14:paraId="2ED1E801" w14:textId="0BCD9C61" w:rsidR="00DF753E" w:rsidRPr="00D458EF" w:rsidRDefault="005C6AF7" w:rsidP="000D0B4E">
      <w:pPr>
        <w:pStyle w:val="a3"/>
        <w:spacing w:line="360" w:lineRule="auto"/>
        <w:ind w:leftChars="0" w:left="1440" w:firstLine="480"/>
        <w:jc w:val="both"/>
        <w:rPr>
          <w:rFonts w:ascii="Times New Roman" w:hAnsi="Times New Roman" w:cs="Times New Roman"/>
          <w:bCs/>
        </w:rPr>
      </w:pPr>
      <w:r w:rsidRPr="00D458EF">
        <w:rPr>
          <w:rFonts w:ascii="Times New Roman" w:hAnsi="Times New Roman" w:cs="Times New Roman"/>
          <w:bCs/>
        </w:rPr>
        <w:t>The finance module evaluates household-level financial outcomes of flood events by calculating insurance premiums, payouts, and OOP</w:t>
      </w:r>
      <w:r w:rsidR="008E5943">
        <w:rPr>
          <w:rFonts w:ascii="Times New Roman" w:hAnsi="Times New Roman" w:cs="Times New Roman" w:hint="eastAsia"/>
          <w:bCs/>
        </w:rPr>
        <w:t xml:space="preserve"> </w:t>
      </w:r>
      <w:r w:rsidRPr="00D458EF">
        <w:rPr>
          <w:rFonts w:ascii="Times New Roman" w:hAnsi="Times New Roman" w:cs="Times New Roman"/>
          <w:bCs/>
        </w:rPr>
        <w:t xml:space="preserve">costs. The National Flood Insurance Program (NFIP) is adopted as the reference insurance framework for modeling flood coverage and financial mechanisms. The NFIP is a federal insurance program administered </w:t>
      </w:r>
      <w:r w:rsidRPr="00D458EF">
        <w:rPr>
          <w:rFonts w:ascii="Times New Roman" w:hAnsi="Times New Roman" w:cs="Times New Roman"/>
          <w:bCs/>
        </w:rPr>
        <w:lastRenderedPageBreak/>
        <w:t>by the Federal Emergency Management Agency (FEMA) to provide standardized flood protection for residential and commercial properties in flood-prone areas</w:t>
      </w:r>
      <w:r w:rsidR="00605D60" w:rsidRPr="00D458EF">
        <w:rPr>
          <w:rFonts w:ascii="Times New Roman" w:hAnsi="Times New Roman" w:cs="Times New Roman"/>
          <w:bCs/>
        </w:rPr>
        <w:t xml:space="preserve"> </w:t>
      </w:r>
      <w:r w:rsidR="00AB1ACE" w:rsidRPr="00D458EF">
        <w:rPr>
          <w:rFonts w:ascii="Times New Roman" w:hAnsi="Times New Roman" w:cs="Times New Roman"/>
          <w:bCs/>
        </w:rPr>
        <w:fldChar w:fldCharType="begin"/>
      </w:r>
      <w:r w:rsidR="00BA437D" w:rsidRPr="00D458EF">
        <w:rPr>
          <w:rFonts w:ascii="Times New Roman" w:hAnsi="Times New Roman" w:cs="Times New Roman"/>
          <w:bCs/>
        </w:rPr>
        <w:instrText xml:space="preserve"> ADDIN ZOTERO_ITEM CSL_CITATION {"citationID":"g1NhMT0d","properties":{"formattedCitation":"(FEMA, 2025a)","plainCitation":"(FEMA, 2025a)","noteIndex":0},"citationItems":[{"id":2035,"uris":["http://zotero.org/users/14772686/items/56SFDYAJ"],"itemData":{"id":2035,"type":"webpage","genre":"legislation","language":"eng","license":"Text is government work","title":"A Brief Introduction to the National Flood Insurance Program","URL":"https://www.congress.gov/crs-product/IF10988","author":[{"family":"FEMA","given":""}],"accessed":{"date-parts":[["2025",12,30]]},"issued":{"date-parts":[["2025"]]}}}],"schema":"https://github.com/citation-style-language/schema/raw/master/csl-citation.json"} </w:instrText>
      </w:r>
      <w:r w:rsidR="00AB1ACE" w:rsidRPr="00D458EF">
        <w:rPr>
          <w:rFonts w:ascii="Times New Roman" w:hAnsi="Times New Roman" w:cs="Times New Roman"/>
          <w:bCs/>
        </w:rPr>
        <w:fldChar w:fldCharType="separate"/>
      </w:r>
      <w:r w:rsidR="00FB169C" w:rsidRPr="00D458EF">
        <w:rPr>
          <w:rFonts w:ascii="Times New Roman" w:hAnsi="Times New Roman" w:cs="Times New Roman"/>
        </w:rPr>
        <w:t>(FEMA, 2025a)</w:t>
      </w:r>
      <w:r w:rsidR="00AB1ACE" w:rsidRPr="00D458EF">
        <w:rPr>
          <w:rFonts w:ascii="Times New Roman" w:hAnsi="Times New Roman" w:cs="Times New Roman"/>
          <w:bCs/>
        </w:rPr>
        <w:fldChar w:fldCharType="end"/>
      </w:r>
      <w:r w:rsidR="00A50911" w:rsidRPr="00D458EF">
        <w:rPr>
          <w:rFonts w:ascii="Times New Roman" w:hAnsi="Times New Roman" w:cs="Times New Roman"/>
          <w:bCs/>
        </w:rPr>
        <w:t>.</w:t>
      </w:r>
      <w:r w:rsidR="00EB4B1E" w:rsidRPr="00D458EF">
        <w:rPr>
          <w:rFonts w:ascii="Times New Roman" w:hAnsi="Times New Roman" w:cs="Times New Roman"/>
          <w:bCs/>
        </w:rPr>
        <w:t xml:space="preserve"> In this framework, homeowners are assumed to hold policies covering both building structure and household contents, whereas renters are restricted to </w:t>
      </w:r>
      <w:proofErr w:type="gramStart"/>
      <w:r w:rsidR="00EB4B1E" w:rsidRPr="00D458EF">
        <w:rPr>
          <w:rFonts w:ascii="Times New Roman" w:hAnsi="Times New Roman" w:cs="Times New Roman"/>
          <w:bCs/>
        </w:rPr>
        <w:t>contents</w:t>
      </w:r>
      <w:proofErr w:type="gramEnd"/>
      <w:r w:rsidR="00EB4B1E" w:rsidRPr="00D458EF">
        <w:rPr>
          <w:rFonts w:ascii="Times New Roman" w:hAnsi="Times New Roman" w:cs="Times New Roman"/>
          <w:bCs/>
        </w:rPr>
        <w:t>-only coverage.</w:t>
      </w:r>
    </w:p>
    <w:p w14:paraId="63C4C832" w14:textId="77777777" w:rsidR="000E4362" w:rsidRPr="00D458EF" w:rsidRDefault="000E4362" w:rsidP="005B487C">
      <w:pPr>
        <w:pStyle w:val="a3"/>
        <w:spacing w:line="360" w:lineRule="auto"/>
        <w:ind w:leftChars="0" w:left="1440" w:firstLine="480"/>
        <w:rPr>
          <w:rFonts w:ascii="Times New Roman" w:hAnsi="Times New Roman" w:cs="Times New Roman"/>
          <w:bCs/>
        </w:rPr>
      </w:pPr>
    </w:p>
    <w:p w14:paraId="0B807621" w14:textId="76356B26" w:rsidR="00850147" w:rsidRPr="00D458EF" w:rsidRDefault="007365EF" w:rsidP="005B487C">
      <w:pPr>
        <w:pStyle w:val="a3"/>
        <w:numPr>
          <w:ilvl w:val="0"/>
          <w:numId w:val="33"/>
        </w:numPr>
        <w:spacing w:line="360" w:lineRule="auto"/>
        <w:ind w:leftChars="0"/>
        <w:rPr>
          <w:rFonts w:ascii="Times New Roman" w:hAnsi="Times New Roman" w:cs="Times New Roman"/>
          <w:bCs/>
        </w:rPr>
      </w:pPr>
      <w:r w:rsidRPr="00D458EF">
        <w:rPr>
          <w:rFonts w:ascii="Times New Roman" w:hAnsi="Times New Roman" w:cs="Times New Roman"/>
          <w:bCs/>
        </w:rPr>
        <w:t>Calculation of premium, payout, and out-of-pocket</w:t>
      </w:r>
    </w:p>
    <w:p w14:paraId="662BCEC3" w14:textId="2894E86B" w:rsidR="008E4CC3" w:rsidRPr="00D458EF" w:rsidRDefault="008E4CC3" w:rsidP="001322CD">
      <w:pPr>
        <w:pStyle w:val="a3"/>
        <w:spacing w:line="360" w:lineRule="auto"/>
        <w:ind w:leftChars="0" w:left="1440" w:firstLine="480"/>
        <w:jc w:val="both"/>
        <w:rPr>
          <w:rFonts w:ascii="Times New Roman" w:hAnsi="Times New Roman" w:cs="Times New Roman"/>
          <w:bCs/>
        </w:rPr>
      </w:pPr>
      <w:r w:rsidRPr="00D458EF">
        <w:rPr>
          <w:rFonts w:ascii="Times New Roman" w:hAnsi="Times New Roman" w:cs="Times New Roman"/>
          <w:bCs/>
        </w:rPr>
        <w:t xml:space="preserve">For insured households, </w:t>
      </w:r>
      <w:r w:rsidR="00640A31" w:rsidRPr="00640A31">
        <w:rPr>
          <w:rFonts w:ascii="Times New Roman" w:hAnsi="Times New Roman" w:cs="Times New Roman"/>
          <w:bCs/>
        </w:rPr>
        <w:t xml:space="preserve">the finance module converts household-level </w:t>
      </w:r>
      <w:r w:rsidR="00640A31" w:rsidRPr="00640A31">
        <w:rPr>
          <w:rFonts w:ascii="Times New Roman" w:hAnsi="Times New Roman" w:cs="Times New Roman"/>
        </w:rPr>
        <w:t>flood damage</w:t>
      </w:r>
      <w:r w:rsidR="00640A31" w:rsidRPr="00640A31">
        <w:rPr>
          <w:rFonts w:ascii="Times New Roman" w:hAnsi="Times New Roman" w:cs="Times New Roman"/>
          <w:bCs/>
        </w:rPr>
        <w:t xml:space="preserve"> </w:t>
      </w:r>
      <m:oMath>
        <m:sSub>
          <m:sSubPr>
            <m:ctrlPr>
              <w:rPr>
                <w:rFonts w:ascii="Cambria Math" w:hAnsi="Cambria Math" w:cs="Times New Roman"/>
                <w:bCs/>
              </w:rPr>
            </m:ctrlPr>
          </m:sSubPr>
          <m:e>
            <m:r>
              <w:rPr>
                <w:rFonts w:ascii="Cambria Math" w:hAnsi="Cambria Math" w:cs="Times New Roman"/>
              </w:rPr>
              <m:t>D</m:t>
            </m:r>
          </m:e>
          <m:sub>
            <m:r>
              <w:rPr>
                <w:rFonts w:ascii="Cambria Math" w:hAnsi="Cambria Math" w:cs="Times New Roman"/>
              </w:rPr>
              <m:t>i</m:t>
            </m:r>
          </m:sub>
        </m:sSub>
      </m:oMath>
      <w:r w:rsidR="00640A31" w:rsidRPr="00640A31">
        <w:rPr>
          <w:rFonts w:ascii="Times New Roman" w:hAnsi="Times New Roman" w:cs="Times New Roman"/>
          <w:bCs/>
        </w:rPr>
        <w:t>, estimated by the vulnerability module, into insurance payouts and OOP costs using an NFIP-style policy structure.</w:t>
      </w:r>
      <w:r w:rsidRPr="00D458EF">
        <w:rPr>
          <w:rFonts w:ascii="Times New Roman" w:hAnsi="Times New Roman" w:cs="Times New Roman"/>
          <w:bCs/>
        </w:rPr>
        <w:t xml:space="preserve"> </w:t>
      </w:r>
      <w:r w:rsidR="001322CD" w:rsidRPr="001322CD">
        <w:rPr>
          <w:rFonts w:ascii="Times New Roman" w:hAnsi="Times New Roman" w:cs="Times New Roman"/>
          <w:bCs/>
        </w:rPr>
        <w:t xml:space="preserve">Coverage limits </w:t>
      </w:r>
      <m:oMath>
        <m:sSub>
          <m:sSubPr>
            <m:ctrlPr>
              <w:rPr>
                <w:rFonts w:ascii="Cambria Math" w:hAnsi="Cambria Math" w:cs="Times New Roman"/>
                <w:bCs/>
              </w:rPr>
            </m:ctrlPr>
          </m:sSubPr>
          <m:e>
            <m:r>
              <w:rPr>
                <w:rFonts w:ascii="Cambria Math" w:hAnsi="Cambria Math" w:cs="Times New Roman"/>
              </w:rPr>
              <m:t>L</m:t>
            </m:r>
          </m:e>
          <m:sub>
            <m:r>
              <w:rPr>
                <w:rFonts w:ascii="Cambria Math" w:hAnsi="Cambria Math" w:cs="Times New Roman"/>
              </w:rPr>
              <m:t>i</m:t>
            </m:r>
          </m:sub>
        </m:sSub>
      </m:oMath>
      <w:r w:rsidR="001322CD" w:rsidRPr="001322CD">
        <w:rPr>
          <w:rFonts w:ascii="Times New Roman" w:hAnsi="Times New Roman" w:cs="Times New Roman"/>
          <w:bCs/>
        </w:rPr>
        <w:t>are defined based on the insured RCV, subject to NFIP coverage caps of $250,000 for building (structure) coverage and $100,000 for contents coverage</w:t>
      </w:r>
      <w:r w:rsidR="00E13217" w:rsidRPr="00D458EF">
        <w:rPr>
          <w:rFonts w:ascii="Times New Roman" w:hAnsi="Times New Roman" w:cs="Times New Roman"/>
          <w:bCs/>
        </w:rPr>
        <w:t xml:space="preserve"> </w:t>
      </w:r>
      <w:r w:rsidR="00FB169C" w:rsidRPr="00D458EF">
        <w:rPr>
          <w:rFonts w:ascii="Times New Roman" w:hAnsi="Times New Roman" w:cs="Times New Roman"/>
          <w:bCs/>
        </w:rPr>
        <w:fldChar w:fldCharType="begin"/>
      </w:r>
      <w:r w:rsidR="00BA437D" w:rsidRPr="00D458EF">
        <w:rPr>
          <w:rFonts w:ascii="Times New Roman" w:hAnsi="Times New Roman" w:cs="Times New Roman"/>
          <w:bCs/>
        </w:rPr>
        <w:instrText xml:space="preserve"> ADDIN ZOTERO_ITEM CSL_CITATION {"citationID":"L5U4boNk","properties":{"formattedCitation":"(FEMA, 2025b)","plainCitation":"(FEMA, 2025b)","noteIndex":0},"citationItems":[{"id":2042,"uris":["http://zotero.org/users/14772686/items/H6BDPTL5"],"itemData":{"id":2042,"type":"book","publisher":"Federal Emergency Management Agency","title":"National Flood Insurance Program Flood Insurance Manual","URL":"https://www.fema.gov/flood-insurance-manual","author":[{"literal":"FEMA"}],"issued":{"date-parts":[["2025",10]]}}}],"schema":"https://github.com/citation-style-language/schema/raw/master/csl-citation.json"} </w:instrText>
      </w:r>
      <w:r w:rsidR="00FB169C" w:rsidRPr="00D458EF">
        <w:rPr>
          <w:rFonts w:ascii="Times New Roman" w:hAnsi="Times New Roman" w:cs="Times New Roman"/>
          <w:bCs/>
        </w:rPr>
        <w:fldChar w:fldCharType="separate"/>
      </w:r>
      <w:r w:rsidR="00FB169C" w:rsidRPr="00D458EF">
        <w:rPr>
          <w:rFonts w:ascii="Times New Roman" w:hAnsi="Times New Roman" w:cs="Times New Roman"/>
        </w:rPr>
        <w:t>(FEMA, 2025b)</w:t>
      </w:r>
      <w:r w:rsidR="00FB169C" w:rsidRPr="00D458EF">
        <w:rPr>
          <w:rFonts w:ascii="Times New Roman" w:hAnsi="Times New Roman" w:cs="Times New Roman"/>
          <w:bCs/>
        </w:rPr>
        <w:fldChar w:fldCharType="end"/>
      </w:r>
      <w:r w:rsidR="00480F91" w:rsidRPr="00D458EF">
        <w:rPr>
          <w:rFonts w:ascii="Times New Roman" w:hAnsi="Times New Roman" w:cs="Times New Roman"/>
          <w:bCs/>
        </w:rPr>
        <w:t>. Homeowners are assumed to insure both structure and contents up to these limits, whereas renters insure contents only. A uniform deductible of $1,000 is applied across all policies. Given a realized loss</w:t>
      </w:r>
      <w:r w:rsidR="00FB169C" w:rsidRPr="00D458EF">
        <w:rPr>
          <w:rFonts w:ascii="Times New Roman" w:hAnsi="Times New Roman" w:cs="Times New Roman"/>
          <w:bCs/>
        </w:rPr>
        <w:t xml:space="preserve"> </w:t>
      </w:r>
      <m:oMath>
        <m:sSub>
          <m:sSubPr>
            <m:ctrlPr>
              <w:rPr>
                <w:rFonts w:ascii="Cambria Math" w:hAnsi="Cambria Math"/>
              </w:rPr>
            </m:ctrlPr>
          </m:sSubPr>
          <m:e>
            <m:r>
              <w:rPr>
                <w:rFonts w:ascii="Cambria Math" w:hAnsi="Cambria Math"/>
              </w:rPr>
              <m:t>G</m:t>
            </m:r>
          </m:e>
          <m:sub>
            <m:r>
              <w:rPr>
                <w:rFonts w:ascii="Cambria Math" w:hAnsi="Cambria Math"/>
              </w:rPr>
              <m:t>i</m:t>
            </m:r>
          </m:sub>
        </m:sSub>
      </m:oMath>
      <w:r w:rsidR="00480F91" w:rsidRPr="00D458EF">
        <w:rPr>
          <w:rFonts w:ascii="Times New Roman" w:hAnsi="Times New Roman" w:cs="Times New Roman"/>
          <w:bCs/>
        </w:rPr>
        <w:t xml:space="preserve">, insurance payout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00FB169C" w:rsidRPr="00D458EF">
        <w:rPr>
          <w:rFonts w:ascii="Times New Roman" w:hAnsi="Times New Roman" w:cs="Times New Roman"/>
          <w:bCs/>
        </w:rPr>
        <w:t xml:space="preserve"> </w:t>
      </w:r>
      <w:r w:rsidR="00480F91" w:rsidRPr="00D458EF">
        <w:rPr>
          <w:rFonts w:ascii="Times New Roman" w:hAnsi="Times New Roman" w:cs="Times New Roman"/>
          <w:bCs/>
        </w:rPr>
        <w:t>is calculated as</w:t>
      </w:r>
      <w:r w:rsidR="002D0B1C" w:rsidRPr="00D458EF">
        <w:rPr>
          <w:rFonts w:ascii="Times New Roman" w:hAnsi="Times New Roman" w:cs="Times New Roman"/>
          <w:bCs/>
        </w:rPr>
        <w:t>:</w:t>
      </w:r>
    </w:p>
    <w:tbl>
      <w:tblPr>
        <w:tblStyle w:val="aa"/>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6688"/>
        <w:gridCol w:w="992"/>
      </w:tblGrid>
      <w:tr w:rsidR="00CB0EA5" w:rsidRPr="00D458EF" w14:paraId="4FEC9B74" w14:textId="77777777" w:rsidTr="003205E3">
        <w:tc>
          <w:tcPr>
            <w:tcW w:w="236" w:type="dxa"/>
          </w:tcPr>
          <w:p w14:paraId="60B9BB27" w14:textId="77777777" w:rsidR="00CB0EA5" w:rsidRPr="00D458EF" w:rsidRDefault="00CB0EA5" w:rsidP="005B487C">
            <w:pPr>
              <w:pStyle w:val="a3"/>
              <w:spacing w:line="360" w:lineRule="auto"/>
              <w:ind w:leftChars="0" w:left="0"/>
              <w:rPr>
                <w:rFonts w:ascii="Times New Roman" w:hAnsi="Times New Roman" w:cs="Times New Roman"/>
                <w:bCs/>
              </w:rPr>
            </w:pPr>
          </w:p>
        </w:tc>
        <w:tc>
          <w:tcPr>
            <w:tcW w:w="6688" w:type="dxa"/>
          </w:tcPr>
          <w:p w14:paraId="0CB44D77" w14:textId="77777777" w:rsidR="00CB0EA5" w:rsidRPr="00D458EF" w:rsidRDefault="00271330" w:rsidP="005B487C">
            <w:pPr>
              <w:spacing w:line="360" w:lineRule="auto"/>
              <w:rPr>
                <w:rFonts w:ascii="Times New Roman" w:eastAsia="新細明體" w:hAnsi="Times New Roman" w:cs="Times New Roman"/>
                <w:bCs/>
              </w:rP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max⁡</m:t>
                </m:r>
                <m:r>
                  <w:rPr>
                    <w:rFonts w:ascii="Cambria Math" w:hAnsi="Cambria Math"/>
                  </w:rPr>
                  <m:t>{0,</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e>
                    </m:d>
                  </m:e>
                </m:func>
                <m:r>
                  <w:rPr>
                    <w:rFonts w:ascii="Cambria Math" w:hAnsi="Cambria Math"/>
                  </w:rPr>
                  <m:t>-D</m:t>
                </m:r>
                <m:r>
                  <w:rPr>
                    <w:rFonts w:ascii="Cambria Math" w:hAnsi="Cambria Math" w:hint="eastAsia"/>
                  </w:rPr>
                  <m:t>}</m:t>
                </m:r>
              </m:oMath>
            </m:oMathPara>
          </w:p>
        </w:tc>
        <w:tc>
          <w:tcPr>
            <w:tcW w:w="992" w:type="dxa"/>
            <w:vAlign w:val="center"/>
          </w:tcPr>
          <w:p w14:paraId="504DB383" w14:textId="6A932D4A" w:rsidR="00CB0EA5" w:rsidRPr="00D458EF" w:rsidRDefault="00AB4B75" w:rsidP="00406051">
            <w:pPr>
              <w:spacing w:line="360" w:lineRule="auto"/>
              <w:jc w:val="right"/>
              <w:rPr>
                <w:rFonts w:ascii="Times New Roman" w:eastAsia="新細明體" w:hAnsi="Times New Roman" w:cs="Times New Roman"/>
                <w:bCs/>
              </w:rPr>
            </w:pPr>
            <w:r>
              <w:rPr>
                <w:rFonts w:ascii="Times New Roman" w:eastAsia="新細明體" w:hAnsi="Times New Roman" w:cs="Times New Roman" w:hint="eastAsia"/>
                <w:bCs/>
              </w:rPr>
              <w:t>(1</w:t>
            </w:r>
            <w:r w:rsidR="000F5448">
              <w:rPr>
                <w:rFonts w:ascii="Times New Roman" w:eastAsia="新細明體" w:hAnsi="Times New Roman" w:cs="Times New Roman" w:hint="eastAsia"/>
                <w:bCs/>
              </w:rPr>
              <w:t>0</w:t>
            </w:r>
            <w:r>
              <w:rPr>
                <w:rFonts w:ascii="Times New Roman" w:eastAsia="新細明體" w:hAnsi="Times New Roman" w:cs="Times New Roman" w:hint="eastAsia"/>
                <w:bCs/>
              </w:rPr>
              <w:t>)</w:t>
            </w:r>
          </w:p>
        </w:tc>
      </w:tr>
    </w:tbl>
    <w:p w14:paraId="7C96E289" w14:textId="479AED0E" w:rsidR="00CB0EA5" w:rsidRPr="00406051" w:rsidRDefault="000669AE" w:rsidP="00406051">
      <w:pPr>
        <w:spacing w:line="360" w:lineRule="auto"/>
        <w:ind w:leftChars="644" w:left="1417"/>
        <w:rPr>
          <w:rFonts w:ascii="Times New Roman" w:hAnsi="Times New Roman" w:cs="Times New Roman"/>
          <w:bCs/>
        </w:rPr>
      </w:pPr>
      <w:r w:rsidRPr="00D458EF">
        <w:rPr>
          <w:rFonts w:ascii="Times New Roman" w:hAnsi="Times New Roman" w:cs="Times New Roman"/>
          <w:bCs/>
        </w:rPr>
        <w:t xml:space="preserve">and the corresponding </w:t>
      </w:r>
      <w:r w:rsidR="008E5943">
        <w:rPr>
          <w:rFonts w:ascii="Times New Roman" w:hAnsi="Times New Roman" w:cs="Times New Roman" w:hint="eastAsia"/>
          <w:bCs/>
        </w:rPr>
        <w:t>OOP</w:t>
      </w:r>
      <w:r w:rsidRPr="00D458EF">
        <w:rPr>
          <w:rFonts w:ascii="Times New Roman" w:hAnsi="Times New Roman" w:cs="Times New Roman"/>
          <w:bCs/>
        </w:rPr>
        <w:t xml:space="preserve"> cost is</w:t>
      </w:r>
    </w:p>
    <w:tbl>
      <w:tblPr>
        <w:tblStyle w:val="aa"/>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6688"/>
        <w:gridCol w:w="992"/>
      </w:tblGrid>
      <w:tr w:rsidR="00CB0EA5" w:rsidRPr="00D458EF" w14:paraId="16B29059" w14:textId="77777777" w:rsidTr="00AE4E96">
        <w:trPr>
          <w:trHeight w:val="283"/>
        </w:trPr>
        <w:tc>
          <w:tcPr>
            <w:tcW w:w="236" w:type="dxa"/>
          </w:tcPr>
          <w:p w14:paraId="17ED8928" w14:textId="77777777" w:rsidR="00CB0EA5" w:rsidRPr="00D458EF" w:rsidRDefault="00CB0EA5" w:rsidP="005B487C">
            <w:pPr>
              <w:pStyle w:val="a3"/>
              <w:spacing w:line="360" w:lineRule="auto"/>
              <w:ind w:leftChars="0" w:left="0"/>
              <w:rPr>
                <w:rFonts w:ascii="Times New Roman" w:hAnsi="Times New Roman" w:cs="Times New Roman"/>
                <w:bCs/>
              </w:rPr>
            </w:pPr>
          </w:p>
        </w:tc>
        <w:tc>
          <w:tcPr>
            <w:tcW w:w="6688" w:type="dxa"/>
          </w:tcPr>
          <w:p w14:paraId="7F61A13A" w14:textId="77777777" w:rsidR="00CB0EA5" w:rsidRPr="00D458EF" w:rsidRDefault="00271330" w:rsidP="005B487C">
            <w:pPr>
              <w:spacing w:line="360" w:lineRule="auto"/>
              <w:rPr>
                <w:rFonts w:ascii="Times New Roman" w:eastAsia="新細明體" w:hAnsi="Times New Roman" w:cs="Times New Roman"/>
                <w:bCs/>
              </w:rPr>
            </w:pPr>
            <m:oMathPara>
              <m:oMath>
                <m:sSub>
                  <m:sSubPr>
                    <m:ctrlPr>
                      <w:rPr>
                        <w:rFonts w:ascii="Cambria Math" w:hAnsi="Cambria Math"/>
                        <w:i/>
                      </w:rPr>
                    </m:ctrlPr>
                  </m:sSubPr>
                  <m:e>
                    <m:r>
                      <w:rPr>
                        <w:rFonts w:ascii="Cambria Math" w:hAnsi="Cambria Math"/>
                      </w:rPr>
                      <m:t>OOP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m:oMathPara>
          </w:p>
        </w:tc>
        <w:tc>
          <w:tcPr>
            <w:tcW w:w="992" w:type="dxa"/>
            <w:vAlign w:val="center"/>
          </w:tcPr>
          <w:p w14:paraId="0EB37C41" w14:textId="1BD560B2" w:rsidR="00CB0EA5" w:rsidRPr="00D458EF" w:rsidRDefault="00AB4B75" w:rsidP="00406051">
            <w:pPr>
              <w:spacing w:line="360" w:lineRule="auto"/>
              <w:jc w:val="right"/>
              <w:rPr>
                <w:rFonts w:ascii="Times New Roman" w:eastAsia="新細明體" w:hAnsi="Times New Roman" w:cs="Times New Roman"/>
                <w:bCs/>
              </w:rPr>
            </w:pPr>
            <w:r>
              <w:rPr>
                <w:rFonts w:ascii="Times New Roman" w:eastAsia="新細明體" w:hAnsi="Times New Roman" w:cs="Times New Roman" w:hint="eastAsia"/>
                <w:bCs/>
              </w:rPr>
              <w:t>(1</w:t>
            </w:r>
            <w:r w:rsidR="000F5448">
              <w:rPr>
                <w:rFonts w:ascii="Times New Roman" w:eastAsia="新細明體" w:hAnsi="Times New Roman" w:cs="Times New Roman" w:hint="eastAsia"/>
                <w:bCs/>
              </w:rPr>
              <w:t>1</w:t>
            </w:r>
            <w:r>
              <w:rPr>
                <w:rFonts w:ascii="Times New Roman" w:eastAsia="新細明體" w:hAnsi="Times New Roman" w:cs="Times New Roman" w:hint="eastAsia"/>
                <w:bCs/>
              </w:rPr>
              <w:t>)</w:t>
            </w:r>
          </w:p>
        </w:tc>
      </w:tr>
    </w:tbl>
    <w:p w14:paraId="7B3C5423" w14:textId="1FFE3A45" w:rsidR="00EA2920" w:rsidRPr="00D458EF" w:rsidRDefault="00E82018" w:rsidP="005B487C">
      <w:pPr>
        <w:pStyle w:val="a3"/>
        <w:spacing w:line="360" w:lineRule="auto"/>
        <w:ind w:leftChars="654" w:left="1439" w:firstLine="546"/>
        <w:rPr>
          <w:rFonts w:ascii="Times New Roman" w:hAnsi="Times New Roman" w:cs="Times New Roman"/>
          <w:bCs/>
          <w:lang w:val="en-US"/>
        </w:rPr>
      </w:pPr>
      <w:r w:rsidRPr="00D458EF">
        <w:rPr>
          <w:rFonts w:ascii="Times New Roman" w:hAnsi="Times New Roman" w:cs="Times New Roman"/>
          <w:bCs/>
          <w:lang w:val="en-US"/>
        </w:rPr>
        <w:t>This formulation captures cases where losses fall below the deductible, are partially covered, or exceed the policy limit.</w:t>
      </w:r>
    </w:p>
    <w:p w14:paraId="349E09AB" w14:textId="302D6207" w:rsidR="000E2DA0" w:rsidRPr="000E2DA0" w:rsidRDefault="00E66F69" w:rsidP="00486F9E">
      <w:pPr>
        <w:pStyle w:val="a3"/>
        <w:spacing w:line="360" w:lineRule="auto"/>
        <w:ind w:leftChars="0" w:left="1440" w:firstLine="480"/>
        <w:jc w:val="both"/>
        <w:rPr>
          <w:rFonts w:ascii="Times New Roman" w:hAnsi="Times New Roman" w:cs="Times New Roman"/>
          <w:bCs/>
        </w:rPr>
      </w:pPr>
      <w:r w:rsidRPr="00E66F69">
        <w:rPr>
          <w:rFonts w:ascii="Times New Roman" w:hAnsi="Times New Roman" w:cs="Times New Roman"/>
          <w:bCs/>
        </w:rPr>
        <w:t xml:space="preserve">Annual insurance premiums are calculated using a simplified NFIP-style rating structure. The premium formulation follows the Premium Calculation Worksheet Examples under the NFIP Risk Rating 2.0 framework, which </w:t>
      </w:r>
      <w:r w:rsidR="00486F9E">
        <w:rPr>
          <w:rFonts w:ascii="Times New Roman" w:hAnsi="Times New Roman" w:cs="Times New Roman"/>
          <w:bCs/>
        </w:rPr>
        <w:t>combines</w:t>
      </w:r>
      <w:r w:rsidRPr="00E66F69">
        <w:rPr>
          <w:rFonts w:ascii="Times New Roman" w:hAnsi="Times New Roman" w:cs="Times New Roman"/>
          <w:bCs/>
        </w:rPr>
        <w:t xml:space="preserve"> coverage amount, deductible choice, reserve loading, and fixed policy fees</w:t>
      </w:r>
      <w:r w:rsidR="00944A95" w:rsidRPr="00D458EF">
        <w:rPr>
          <w:rFonts w:ascii="Times New Roman" w:hAnsi="Times New Roman" w:cs="Times New Roman"/>
          <w:bCs/>
        </w:rPr>
        <w:t xml:space="preserve"> </w:t>
      </w:r>
      <w:r w:rsidR="00944A95" w:rsidRPr="00D458EF">
        <w:rPr>
          <w:rFonts w:ascii="Times New Roman" w:hAnsi="Times New Roman" w:cs="Times New Roman"/>
          <w:bCs/>
        </w:rPr>
        <w:fldChar w:fldCharType="begin"/>
      </w:r>
      <w:r w:rsidR="00944A95" w:rsidRPr="00D458EF">
        <w:rPr>
          <w:rFonts w:ascii="Times New Roman" w:hAnsi="Times New Roman" w:cs="Times New Roman"/>
          <w:bCs/>
        </w:rPr>
        <w:instrText xml:space="preserve"> ADDIN ZOTERO_ITEM CSL_CITATION {"citationID":"wykvecA4","properties":{"formattedCitation":"(FEMA, 2021b)","plainCitation":"(FEMA, 2021b)","noteIndex":0},"citationItems":[{"id":2050,"uris":["http://zotero.org/users/14772686/items/GKK9LKLY"],"itemData":{"id":2050,"type":"document","note":"Published: Technical worksheet examples","title":"National Flood Insurance Program Risk Rating 2.0: Premium Calculation Worksheet Examples","URL":"https://www.fema.gov/sites/default/files/documents/fema_risk-rating_PCW_Rating_Examples.xlsx","author":[{"literal":"FEMA"}],"accessed":{"date-parts":[["2025",12,31]]},"issued":{"date-parts":[["2021"]]}}}],"schema":"https://github.com/citation-style-language/schema/raw/master/csl-citation.json"} </w:instrText>
      </w:r>
      <w:r w:rsidR="00944A95" w:rsidRPr="00D458EF">
        <w:rPr>
          <w:rFonts w:ascii="Times New Roman" w:hAnsi="Times New Roman" w:cs="Times New Roman"/>
          <w:bCs/>
        </w:rPr>
        <w:fldChar w:fldCharType="separate"/>
      </w:r>
      <w:r w:rsidR="00944A95" w:rsidRPr="00D458EF">
        <w:rPr>
          <w:rFonts w:ascii="Times New Roman" w:hAnsi="Times New Roman" w:cs="Times New Roman"/>
        </w:rPr>
        <w:t>(FEMA, 2021b)</w:t>
      </w:r>
      <w:r w:rsidR="00944A95" w:rsidRPr="00D458EF">
        <w:rPr>
          <w:rFonts w:ascii="Times New Roman" w:hAnsi="Times New Roman" w:cs="Times New Roman"/>
          <w:bCs/>
        </w:rPr>
        <w:fldChar w:fldCharType="end"/>
      </w:r>
      <w:r w:rsidR="00944A95" w:rsidRPr="00D458EF">
        <w:rPr>
          <w:rFonts w:ascii="Times New Roman" w:hAnsi="Times New Roman" w:cs="Times New Roman"/>
          <w:bCs/>
        </w:rPr>
        <w:t>.</w:t>
      </w:r>
      <w:r w:rsidR="00F14257" w:rsidRPr="00D458EF">
        <w:rPr>
          <w:rFonts w:ascii="Times New Roman" w:hAnsi="Times New Roman" w:cs="Times New Roman"/>
          <w:bCs/>
        </w:rPr>
        <w:t xml:space="preserve"> </w:t>
      </w:r>
      <w:r w:rsidR="000E2DA0" w:rsidRPr="000E2DA0">
        <w:rPr>
          <w:rFonts w:ascii="Times New Roman" w:hAnsi="Times New Roman" w:cs="Times New Roman"/>
          <w:bCs/>
        </w:rPr>
        <w:t xml:space="preserve">Base rates per $1,000 of coverage are empirically estimated from policy-level observations in New Jersey using the FIMA NFIP Redacted Policies v2 dataset released through </w:t>
      </w:r>
      <w:proofErr w:type="spellStart"/>
      <w:r w:rsidR="000E2DA0" w:rsidRPr="000E2DA0">
        <w:rPr>
          <w:rFonts w:ascii="Times New Roman" w:hAnsi="Times New Roman" w:cs="Times New Roman"/>
          <w:bCs/>
        </w:rPr>
        <w:t>OpenFEMA</w:t>
      </w:r>
      <w:proofErr w:type="spellEnd"/>
      <w:r w:rsidR="00F14257" w:rsidRPr="00D458EF">
        <w:rPr>
          <w:rFonts w:ascii="Times New Roman" w:hAnsi="Times New Roman" w:cs="Times New Roman"/>
          <w:bCs/>
        </w:rPr>
        <w:t xml:space="preserve"> </w:t>
      </w:r>
      <w:r w:rsidR="00F14257" w:rsidRPr="00D458EF">
        <w:rPr>
          <w:rFonts w:ascii="Times New Roman" w:hAnsi="Times New Roman" w:cs="Times New Roman"/>
          <w:bCs/>
        </w:rPr>
        <w:fldChar w:fldCharType="begin"/>
      </w:r>
      <w:r w:rsidR="00BA437D" w:rsidRPr="00D458EF">
        <w:rPr>
          <w:rFonts w:ascii="Times New Roman" w:hAnsi="Times New Roman" w:cs="Times New Roman"/>
          <w:bCs/>
        </w:rPr>
        <w:instrText xml:space="preserve"> ADDIN ZOTERO_ITEM CSL_CITATION {"citationID":"dWhlJMyg","properties":{"formattedCitation":"(FEMA, 2025c)","plainCitation":"(FEMA, 2025c)","noteIndex":0},"citationItems":[{"id":2049,"uris":["http://zotero.org/users/14772686/items/J8ZKXWW7"],"itemData":{"id":2049,"type":"document","note":"Published: Public dataset","title":"OpenFEMA Dataset: FIMA NFIP Redacted Policies, Version 2","URL":"https://www.fema.gov/openfema-data-page/fima-nfip-redacted-policies-v2","author":[{"literal":"FEMA"}],"accessed":{"date-parts":[["2025",12,31]]},"issued":{"date-parts":[["2025"]]}}}],"schema":"https://github.com/citation-style-language/schema/raw/master/csl-citation.json"} </w:instrText>
      </w:r>
      <w:r w:rsidR="00F14257" w:rsidRPr="00D458EF">
        <w:rPr>
          <w:rFonts w:ascii="Times New Roman" w:hAnsi="Times New Roman" w:cs="Times New Roman"/>
          <w:bCs/>
        </w:rPr>
        <w:fldChar w:fldCharType="separate"/>
      </w:r>
      <w:r w:rsidR="00F14257" w:rsidRPr="00D458EF">
        <w:rPr>
          <w:rFonts w:ascii="Times New Roman" w:hAnsi="Times New Roman" w:cs="Times New Roman"/>
        </w:rPr>
        <w:t>(FEMA, 2025c)</w:t>
      </w:r>
      <w:r w:rsidR="00F14257" w:rsidRPr="00D458EF">
        <w:rPr>
          <w:rFonts w:ascii="Times New Roman" w:hAnsi="Times New Roman" w:cs="Times New Roman"/>
          <w:bCs/>
        </w:rPr>
        <w:fldChar w:fldCharType="end"/>
      </w:r>
      <w:r w:rsidR="00F14257" w:rsidRPr="00D458EF">
        <w:rPr>
          <w:rFonts w:ascii="Times New Roman" w:hAnsi="Times New Roman" w:cs="Times New Roman"/>
          <w:bCs/>
        </w:rPr>
        <w:t xml:space="preserve">. </w:t>
      </w:r>
      <w:r w:rsidR="000E2DA0">
        <w:rPr>
          <w:rFonts w:ascii="Times New Roman" w:hAnsi="Times New Roman" w:cs="Times New Roman" w:hint="eastAsia"/>
          <w:bCs/>
        </w:rPr>
        <w:t xml:space="preserve"> </w:t>
      </w:r>
      <w:r w:rsidR="000E2DA0" w:rsidRPr="000E2DA0">
        <w:rPr>
          <w:rFonts w:ascii="Times New Roman" w:hAnsi="Times New Roman" w:cs="Times New Roman"/>
          <w:bCs/>
          <w:lang w:val="en-US"/>
        </w:rPr>
        <w:t>Based on these data, NJ-specific base rates of $3.56 per $1,000 for building coverage and $4.98 per $1,000 for contents coverage are applied.</w:t>
      </w:r>
    </w:p>
    <w:p w14:paraId="36D05CB6" w14:textId="2ECC7ACC" w:rsidR="00486F9E" w:rsidRPr="000E2DA0" w:rsidRDefault="000E2DA0" w:rsidP="00486F9E">
      <w:pPr>
        <w:pStyle w:val="a3"/>
        <w:spacing w:line="360" w:lineRule="auto"/>
        <w:ind w:left="440" w:firstLine="480"/>
        <w:jc w:val="both"/>
        <w:rPr>
          <w:rFonts w:ascii="Times New Roman" w:hAnsi="Times New Roman" w:cs="Times New Roman"/>
          <w:bCs/>
          <w:lang w:val="en-US"/>
        </w:rPr>
      </w:pPr>
      <w:r>
        <w:rPr>
          <w:rFonts w:ascii="Times New Roman" w:hAnsi="Times New Roman" w:cs="Times New Roman"/>
          <w:bCs/>
          <w:lang w:val="en-US"/>
        </w:rPr>
        <w:tab/>
      </w:r>
      <w:r>
        <w:rPr>
          <w:rFonts w:ascii="Times New Roman" w:hAnsi="Times New Roman" w:cs="Times New Roman"/>
          <w:bCs/>
          <w:lang w:val="en-US"/>
        </w:rPr>
        <w:tab/>
      </w:r>
      <w:r w:rsidRPr="000E2DA0">
        <w:rPr>
          <w:rFonts w:ascii="Times New Roman" w:hAnsi="Times New Roman" w:cs="Times New Roman"/>
          <w:bCs/>
          <w:lang w:val="en-US"/>
        </w:rPr>
        <w:t xml:space="preserve">The annual premium for household </w:t>
      </w:r>
      <m:oMath>
        <m:r>
          <w:rPr>
            <w:rFonts w:ascii="Cambria Math" w:hAnsi="Cambria Math" w:cs="Times New Roman"/>
            <w:lang w:val="en-US"/>
          </w:rPr>
          <m:t>i</m:t>
        </m:r>
      </m:oMath>
      <w:r w:rsidRPr="000E2DA0">
        <w:rPr>
          <w:rFonts w:ascii="Times New Roman" w:hAnsi="Times New Roman" w:cs="Times New Roman"/>
          <w:bCs/>
          <w:lang w:val="en-US"/>
        </w:rPr>
        <w:t>is computed as:</w:t>
      </w:r>
    </w:p>
    <w:tbl>
      <w:tblPr>
        <w:tblStyle w:val="aa"/>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6404"/>
        <w:gridCol w:w="1276"/>
      </w:tblGrid>
      <w:tr w:rsidR="00AB4B75" w:rsidRPr="00D458EF" w14:paraId="7CE73888" w14:textId="77777777" w:rsidTr="00823EC0">
        <w:tc>
          <w:tcPr>
            <w:tcW w:w="236" w:type="dxa"/>
          </w:tcPr>
          <w:p w14:paraId="3FAE8FF9" w14:textId="77777777" w:rsidR="00AB4B75" w:rsidRPr="00D458EF" w:rsidRDefault="00AB4B75" w:rsidP="005B487C">
            <w:pPr>
              <w:pStyle w:val="a3"/>
              <w:spacing w:line="360" w:lineRule="auto"/>
              <w:ind w:leftChars="0" w:left="0"/>
              <w:rPr>
                <w:rFonts w:ascii="Times New Roman" w:hAnsi="Times New Roman" w:cs="Times New Roman"/>
                <w:bCs/>
              </w:rPr>
            </w:pPr>
          </w:p>
        </w:tc>
        <w:tc>
          <w:tcPr>
            <w:tcW w:w="6404" w:type="dxa"/>
          </w:tcPr>
          <w:p w14:paraId="75AD715A" w14:textId="43DF90B2" w:rsidR="00AB4B75" w:rsidRPr="00D458EF" w:rsidRDefault="00AB4B75" w:rsidP="00486F9E">
            <w:pPr>
              <w:spacing w:line="360" w:lineRule="auto"/>
              <w:jc w:val="center"/>
              <w:rPr>
                <w:rFonts w:ascii="Times New Roman" w:hAnsi="Times New Roman" w:cs="Times New Roman"/>
                <w:bCs/>
                <w:i/>
                <w:lang w:val="en-US"/>
              </w:rPr>
            </w:pPr>
            <m:oMath>
              <m:r>
                <w:rPr>
                  <w:rFonts w:ascii="Cambria Math" w:hAnsi="Cambria Math"/>
                  <w:lang w:val="en-US"/>
                </w:rPr>
                <m:t>Premium=(</m:t>
              </m:r>
              <m:f>
                <m:fPr>
                  <m:ctrlPr>
                    <w:rPr>
                      <w:rFonts w:ascii="Cambria Math" w:hAnsi="Cambria Math"/>
                      <w:i/>
                      <w:lang w:val="en-US"/>
                    </w:rPr>
                  </m:ctrlPr>
                </m:fPr>
                <m:num>
                  <m:r>
                    <w:rPr>
                      <w:rFonts w:ascii="Cambria Math" w:hAnsi="Cambria Math"/>
                      <w:lang w:val="en-US"/>
                    </w:rPr>
                    <m:t>Coverage </m:t>
                  </m:r>
                </m:num>
                <m:den>
                  <m:r>
                    <w:rPr>
                      <w:rFonts w:ascii="Cambria Math" w:hAnsi="Cambria Math"/>
                      <w:lang w:val="en-US"/>
                    </w:rPr>
                    <m:t>1000</m:t>
                  </m:r>
                </m:den>
              </m:f>
            </m:oMath>
            <w:r w:rsidRPr="00D458EF">
              <w:rPr>
                <w:rFonts w:ascii="Times New Roman" w:hAnsi="Times New Roman" w:cs="Times New Roman"/>
                <w:bCs/>
                <w:i/>
                <w:lang w:val="en-US"/>
              </w:rPr>
              <w:t xml:space="preserve">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1k</m:t>
                  </m:r>
                </m:sub>
              </m:sSub>
              <m:r>
                <w:rPr>
                  <w:rFonts w:ascii="Cambria Math" w:hAnsi="Cambria Math"/>
                  <w:lang w:val="en-US"/>
                </w:rPr>
                <m:t>∙</m:t>
              </m:r>
              <m:r>
                <m:rPr>
                  <m:sty m:val="p"/>
                </m:rPr>
                <w:rPr>
                  <w:rFonts w:ascii="Cambria Math" w:hAnsi="Cambria Math"/>
                  <w:lang w:val="en-US"/>
                </w:rPr>
                <m:t>max⁡</m:t>
              </m:r>
              <m:r>
                <w:rPr>
                  <w:rFonts w:ascii="Cambria Math" w:hAnsi="Cambria Math"/>
                  <w:lang w:val="en-US"/>
                </w:rPr>
                <m:t>(</m:t>
              </m:r>
              <m:r>
                <w:rPr>
                  <w:rFonts w:ascii="Cambria Math" w:hAnsi="Cambria Math" w:cs="Times New Roman"/>
                  <w:lang w:val="en-US"/>
                </w:rPr>
                <m:t>0.001,</m:t>
              </m:r>
              <m:r>
                <m:rPr>
                  <m:nor/>
                </m:rPr>
                <w:rPr>
                  <w:rFonts w:ascii="Times New Roman" w:hAnsi="Times New Roman" w:cs="Times New Roman"/>
                  <w:bCs/>
                  <w:lang w:val="en-US"/>
                </w:rPr>
                <m:t>  </m:t>
              </m:r>
              <m:r>
                <w:rPr>
                  <w:rFonts w:ascii="Cambria Math" w:hAnsi="Cambria Math" w:cs="Times New Roman"/>
                  <w:lang w:val="en-US"/>
                </w:rPr>
                <m:t>1-</m:t>
              </m:r>
              <m:f>
                <m:fPr>
                  <m:ctrlPr>
                    <w:rPr>
                      <w:rFonts w:ascii="Cambria Math" w:hAnsi="Cambria Math" w:cs="Times New Roman"/>
                      <w:bCs/>
                      <w:lang w:val="en-US"/>
                    </w:rPr>
                  </m:ctrlPr>
                </m:fPr>
                <m:num>
                  <m:r>
                    <w:rPr>
                      <w:rFonts w:ascii="Cambria Math" w:hAnsi="Cambria Math" w:cs="Times New Roman"/>
                      <w:lang w:val="en-US"/>
                    </w:rPr>
                    <m:t>D</m:t>
                  </m:r>
                </m:num>
                <m:den>
                  <m:sSub>
                    <m:sSubPr>
                      <m:ctrlPr>
                        <w:rPr>
                          <w:rFonts w:ascii="Cambria Math" w:hAnsi="Cambria Math" w:cs="Times New Roman"/>
                          <w:bCs/>
                          <w:lang w:val="en-US"/>
                        </w:rPr>
                      </m:ctrlPr>
                    </m:sSubPr>
                    <m:e>
                      <m:r>
                        <w:rPr>
                          <w:rFonts w:ascii="Cambria Math" w:hAnsi="Cambria Math" w:cs="Times New Roman"/>
                          <w:lang w:val="en-US"/>
                        </w:rPr>
                        <m:t>L</m:t>
                      </m:r>
                    </m:e>
                    <m:sub>
                      <m:r>
                        <w:rPr>
                          <w:rFonts w:ascii="Cambria Math" w:hAnsi="Cambria Math" w:cs="Times New Roman"/>
                          <w:lang w:val="en-US"/>
                        </w:rPr>
                        <m:t>i</m:t>
                      </m:r>
                    </m:sub>
                  </m:sSub>
                </m:den>
              </m:f>
              <m:r>
                <w:rPr>
                  <w:rFonts w:ascii="Cambria Math" w:hAnsi="Cambria Math"/>
                  <w:lang w:val="en-US"/>
                </w:rPr>
                <m:t>))</m:t>
              </m:r>
              <m:r>
                <w:rPr>
                  <w:rFonts w:ascii="Cambria Math" w:hAnsi="Cambria Math"/>
                  <w:lang w:val="en-US"/>
                </w:rPr>
                <m:t>∙</m:t>
              </m:r>
              <m:r>
                <w:rPr>
                  <w:rFonts w:ascii="Cambria Math" w:hAnsi="Cambria Math"/>
                  <w:lang w:val="en-US"/>
                </w:rPr>
                <m:t>R+F</m:t>
              </m:r>
            </m:oMath>
          </w:p>
        </w:tc>
        <w:tc>
          <w:tcPr>
            <w:tcW w:w="1276" w:type="dxa"/>
            <w:vAlign w:val="center"/>
          </w:tcPr>
          <w:p w14:paraId="26D60E16" w14:textId="4E516B94" w:rsidR="00AB4B75" w:rsidRPr="00823EC0" w:rsidRDefault="00823EC0" w:rsidP="00486F9E">
            <w:pPr>
              <w:spacing w:line="360" w:lineRule="auto"/>
              <w:jc w:val="right"/>
              <w:rPr>
                <w:rFonts w:ascii="Times New Roman" w:hAnsi="Times New Roman" w:cs="Times New Roman"/>
                <w:bCs/>
                <w:iCs/>
                <w:lang w:val="en-US"/>
              </w:rPr>
            </w:pPr>
            <w:r w:rsidRPr="00823EC0">
              <w:rPr>
                <w:rFonts w:ascii="Times New Roman" w:hAnsi="Times New Roman" w:cs="Times New Roman" w:hint="eastAsia"/>
                <w:bCs/>
                <w:iCs/>
                <w:lang w:val="en-US"/>
              </w:rPr>
              <w:t>(1</w:t>
            </w:r>
            <w:r w:rsidR="00E671EC">
              <w:rPr>
                <w:rFonts w:ascii="Times New Roman" w:hAnsi="Times New Roman" w:cs="Times New Roman" w:hint="eastAsia"/>
                <w:bCs/>
                <w:iCs/>
                <w:lang w:val="en-US"/>
              </w:rPr>
              <w:t>2</w:t>
            </w:r>
            <w:r w:rsidRPr="00823EC0">
              <w:rPr>
                <w:rFonts w:ascii="Times New Roman" w:hAnsi="Times New Roman" w:cs="Times New Roman" w:hint="eastAsia"/>
                <w:bCs/>
                <w:iCs/>
                <w:lang w:val="en-US"/>
              </w:rPr>
              <w:t>)</w:t>
            </w:r>
          </w:p>
        </w:tc>
      </w:tr>
    </w:tbl>
    <w:p w14:paraId="53DC4DD7" w14:textId="32B54E0C" w:rsidR="00756A4F" w:rsidRPr="00756A4F" w:rsidRDefault="000858F6" w:rsidP="00756A4F">
      <w:pPr>
        <w:pStyle w:val="a3"/>
        <w:spacing w:line="360" w:lineRule="auto"/>
        <w:ind w:leftChars="644" w:left="1417" w:firstLine="480"/>
        <w:jc w:val="both"/>
        <w:rPr>
          <w:rFonts w:ascii="Times New Roman" w:hAnsi="Times New Roman" w:cs="Times New Roman"/>
          <w:bCs/>
          <w:lang w:val="en-US"/>
        </w:rPr>
      </w:pPr>
      <w:r w:rsidRPr="000858F6">
        <w:rPr>
          <w:rFonts w:ascii="Times New Roman" w:hAnsi="Times New Roman" w:cs="Times New Roman"/>
          <w:bCs/>
        </w:rPr>
        <w:t xml:space="preserve">where </w:t>
      </w:r>
      <m:oMath>
        <m:sSub>
          <m:sSubPr>
            <m:ctrlPr>
              <w:rPr>
                <w:rFonts w:ascii="Cambria Math" w:hAnsi="Cambria Math" w:cs="Times New Roman"/>
                <w:bCs/>
              </w:rPr>
            </m:ctrlPr>
          </m:sSubPr>
          <m:e>
            <m:r>
              <w:rPr>
                <w:rFonts w:ascii="Cambria Math" w:hAnsi="Cambria Math" w:cs="Times New Roman"/>
              </w:rPr>
              <m:t>r</m:t>
            </m:r>
          </m:e>
          <m:sub>
            <m:r>
              <w:rPr>
                <w:rFonts w:ascii="Cambria Math" w:hAnsi="Cambria Math" w:cs="Times New Roman"/>
              </w:rPr>
              <m:t>1k</m:t>
            </m:r>
          </m:sub>
        </m:sSub>
      </m:oMath>
      <w:r w:rsidRPr="000858F6">
        <w:rPr>
          <w:rFonts w:ascii="Times New Roman" w:hAnsi="Times New Roman" w:cs="Times New Roman"/>
          <w:bCs/>
        </w:rPr>
        <w:t xml:space="preserve">denotes the NJ-specific base rate per $1,000 of coverage, </w:t>
      </w:r>
      <m:oMath>
        <m:r>
          <w:rPr>
            <w:rFonts w:ascii="Cambria Math" w:hAnsi="Cambria Math" w:cs="Times New Roman"/>
          </w:rPr>
          <m:t>D</m:t>
        </m:r>
      </m:oMath>
      <w:r w:rsidRPr="000858F6">
        <w:rPr>
          <w:rFonts w:ascii="Times New Roman" w:hAnsi="Times New Roman" w:cs="Times New Roman"/>
          <w:bCs/>
        </w:rPr>
        <w:t xml:space="preserve">is the deductible, and </w:t>
      </w:r>
      <m:oMath>
        <m:sSub>
          <m:sSubPr>
            <m:ctrlPr>
              <w:rPr>
                <w:rFonts w:ascii="Cambria Math" w:hAnsi="Cambria Math" w:cs="Times New Roman"/>
                <w:bCs/>
              </w:rPr>
            </m:ctrlPr>
          </m:sSubPr>
          <m:e>
            <m:r>
              <w:rPr>
                <w:rFonts w:ascii="Cambria Math" w:hAnsi="Cambria Math" w:cs="Times New Roman"/>
              </w:rPr>
              <m:t>L</m:t>
            </m:r>
          </m:e>
          <m:sub>
            <m:r>
              <w:rPr>
                <w:rFonts w:ascii="Cambria Math" w:hAnsi="Cambria Math" w:cs="Times New Roman"/>
              </w:rPr>
              <m:t>i</m:t>
            </m:r>
          </m:sub>
        </m:sSub>
      </m:oMath>
      <w:r w:rsidRPr="000858F6">
        <w:rPr>
          <w:rFonts w:ascii="Times New Roman" w:hAnsi="Times New Roman" w:cs="Times New Roman"/>
          <w:bCs/>
        </w:rPr>
        <w:t xml:space="preserve">is the coverage limit. </w:t>
      </w:r>
      <w:r w:rsidR="00756A4F" w:rsidRPr="00756A4F">
        <w:rPr>
          <w:rFonts w:ascii="Times New Roman" w:hAnsi="Times New Roman" w:cs="Times New Roman"/>
          <w:bCs/>
          <w:lang w:val="en-US"/>
        </w:rPr>
        <w:t xml:space="preserve">The reserve fund rate </w:t>
      </w:r>
      <m:oMath>
        <m:r>
          <w:rPr>
            <w:rFonts w:ascii="Cambria Math" w:hAnsi="Cambria Math" w:cs="Times New Roman"/>
            <w:lang w:val="en-US"/>
          </w:rPr>
          <m:t xml:space="preserve">R </m:t>
        </m:r>
      </m:oMath>
      <w:r w:rsidR="00756A4F" w:rsidRPr="00756A4F">
        <w:rPr>
          <w:rFonts w:ascii="Times New Roman" w:hAnsi="Times New Roman" w:cs="Times New Roman"/>
          <w:bCs/>
          <w:lang w:val="en-US"/>
        </w:rPr>
        <w:t>is applied as an annual loading to ensure long</w:t>
      </w:r>
      <w:r w:rsidR="00756A4F" w:rsidRPr="00756A4F">
        <w:rPr>
          <w:rFonts w:ascii="Times New Roman" w:hAnsi="Times New Roman" w:cs="Times New Roman"/>
          <w:bCs/>
          <w:lang w:val="en-US"/>
        </w:rPr>
        <w:noBreakHyphen/>
        <w:t xml:space="preserve">term program sustainability. The fixed fee </w:t>
      </w:r>
      <m:oMath>
        <m:r>
          <w:rPr>
            <w:rFonts w:ascii="Cambria Math" w:hAnsi="Cambria Math" w:cs="Times New Roman"/>
            <w:lang w:val="en-US"/>
          </w:rPr>
          <m:t>F</m:t>
        </m:r>
      </m:oMath>
      <w:r w:rsidR="00756A4F" w:rsidRPr="00756A4F">
        <w:rPr>
          <w:rFonts w:ascii="Times New Roman" w:hAnsi="Times New Roman" w:cs="Times New Roman"/>
          <w:bCs/>
          <w:lang w:val="en-US"/>
        </w:rPr>
        <w:t xml:space="preserve">(approximately </w:t>
      </w:r>
      <w:r w:rsidR="00F63AD9">
        <w:rPr>
          <w:rFonts w:ascii="Times New Roman" w:hAnsi="Times New Roman" w:cs="Times New Roman" w:hint="eastAsia"/>
          <w:bCs/>
          <w:lang w:val="en-US"/>
        </w:rPr>
        <w:t>$</w:t>
      </w:r>
      <w:r w:rsidR="00756A4F" w:rsidRPr="00756A4F">
        <w:rPr>
          <w:rFonts w:ascii="Times New Roman" w:hAnsi="Times New Roman" w:cs="Times New Roman"/>
          <w:bCs/>
          <w:lang w:val="en-US"/>
        </w:rPr>
        <w:t xml:space="preserve">100 </w:t>
      </w:r>
      <w:r w:rsidR="00756A4F" w:rsidRPr="00756A4F">
        <w:rPr>
          <w:rFonts w:ascii="Times New Roman" w:hAnsi="Times New Roman" w:cs="Times New Roman"/>
          <w:bCs/>
          <w:lang w:val="en-US"/>
        </w:rPr>
        <w:lastRenderedPageBreak/>
        <w:t>per policy) consolidates standard NFIP</w:t>
      </w:r>
      <w:r w:rsidR="00756A4F" w:rsidRPr="00756A4F">
        <w:rPr>
          <w:rFonts w:ascii="Times New Roman" w:hAnsi="Times New Roman" w:cs="Times New Roman"/>
          <w:bCs/>
          <w:lang w:val="en-US"/>
        </w:rPr>
        <w:noBreakHyphen/>
        <w:t>related charges, including the federal policy fee, the Increased Cost of Compliance surcharge, and other administrative components.</w:t>
      </w:r>
    </w:p>
    <w:p w14:paraId="3954224A" w14:textId="45A31CC7" w:rsidR="00480F91" w:rsidRDefault="00480F91" w:rsidP="000858F6">
      <w:pPr>
        <w:pStyle w:val="a3"/>
        <w:spacing w:line="360" w:lineRule="auto"/>
        <w:ind w:leftChars="0" w:left="1440" w:firstLine="480"/>
        <w:jc w:val="both"/>
        <w:rPr>
          <w:rFonts w:ascii="Times New Roman" w:hAnsi="Times New Roman" w:cs="Times New Roman"/>
          <w:bCs/>
        </w:rPr>
      </w:pPr>
    </w:p>
    <w:p w14:paraId="772F3456" w14:textId="77777777" w:rsidR="004B741D" w:rsidRPr="00D458EF" w:rsidRDefault="004B741D" w:rsidP="000858F6">
      <w:pPr>
        <w:pStyle w:val="a3"/>
        <w:spacing w:line="360" w:lineRule="auto"/>
        <w:ind w:leftChars="0" w:left="1440" w:firstLine="480"/>
        <w:jc w:val="both"/>
        <w:rPr>
          <w:rFonts w:ascii="Times New Roman" w:hAnsi="Times New Roman" w:cs="Times New Roman"/>
          <w:bCs/>
        </w:rPr>
      </w:pPr>
    </w:p>
    <w:p w14:paraId="6CD8B29F" w14:textId="090C6109" w:rsidR="003C4D22" w:rsidRPr="00D458EF" w:rsidRDefault="00BC3DC7" w:rsidP="005B487C">
      <w:pPr>
        <w:pStyle w:val="a3"/>
        <w:numPr>
          <w:ilvl w:val="0"/>
          <w:numId w:val="22"/>
        </w:numPr>
        <w:spacing w:line="360" w:lineRule="auto"/>
        <w:ind w:leftChars="0" w:left="482" w:hanging="482"/>
        <w:outlineLvl w:val="1"/>
        <w:rPr>
          <w:rFonts w:ascii="Times New Roman" w:hAnsi="Times New Roman" w:cs="Times New Roman"/>
          <w:bCs/>
        </w:rPr>
      </w:pPr>
      <w:r w:rsidRPr="00D458EF">
        <w:rPr>
          <w:rFonts w:ascii="Times New Roman" w:hAnsi="Times New Roman" w:cs="Times New Roman"/>
          <w:bCs/>
        </w:rPr>
        <w:t>Scenario De</w:t>
      </w:r>
      <w:r w:rsidR="008A3D48" w:rsidRPr="00D458EF">
        <w:rPr>
          <w:rFonts w:ascii="Times New Roman" w:hAnsi="Times New Roman" w:cs="Times New Roman"/>
          <w:bCs/>
        </w:rPr>
        <w:t>finition for</w:t>
      </w:r>
    </w:p>
    <w:p w14:paraId="08F51AD5" w14:textId="7AAFDED8" w:rsidR="003E77E4" w:rsidRPr="00D458EF" w:rsidRDefault="00821847" w:rsidP="005B487C">
      <w:pPr>
        <w:pStyle w:val="a3"/>
        <w:numPr>
          <w:ilvl w:val="0"/>
          <w:numId w:val="34"/>
        </w:numPr>
        <w:spacing w:line="360" w:lineRule="auto"/>
        <w:ind w:leftChars="0"/>
        <w:rPr>
          <w:rFonts w:ascii="Times New Roman" w:hAnsi="Times New Roman" w:cs="Times New Roman"/>
          <w:bCs/>
        </w:rPr>
      </w:pPr>
      <w:r w:rsidRPr="00D458EF">
        <w:rPr>
          <w:rFonts w:ascii="Times New Roman" w:hAnsi="Times New Roman" w:cs="Times New Roman"/>
          <w:bCs/>
        </w:rPr>
        <w:t>Baseline and counterfactual worst-case s</w:t>
      </w:r>
      <w:r w:rsidR="009B4E63" w:rsidRPr="00D458EF">
        <w:rPr>
          <w:rFonts w:ascii="Times New Roman" w:hAnsi="Times New Roman" w:cs="Times New Roman"/>
          <w:bCs/>
        </w:rPr>
        <w:t>cenarios</w:t>
      </w:r>
    </w:p>
    <w:p w14:paraId="128429ED" w14:textId="6E3E4F30" w:rsidR="00B115D3" w:rsidRPr="00D458EF" w:rsidRDefault="003E77E4" w:rsidP="00B5771B">
      <w:pPr>
        <w:pStyle w:val="a3"/>
        <w:spacing w:line="360" w:lineRule="auto"/>
        <w:ind w:leftChars="654" w:left="1439" w:firstLine="25"/>
        <w:jc w:val="both"/>
        <w:rPr>
          <w:rFonts w:ascii="Times New Roman" w:hAnsi="Times New Roman" w:cs="Times New Roman"/>
          <w:bCs/>
          <w:lang w:val="en-US"/>
        </w:rPr>
      </w:pPr>
      <w:r w:rsidRPr="00D458EF">
        <w:rPr>
          <w:rFonts w:ascii="Times New Roman" w:hAnsi="Times New Roman" w:cs="Times New Roman"/>
          <w:bCs/>
          <w:lang w:val="en-US"/>
        </w:rPr>
        <w:tab/>
        <w:t>To support comparative analysis in the Results section, two simulation settings are evaluated: a baseline scenario and a counterfactual worst-case scenario. In the baseline scenario, households are allowed to adopt adaptive behaviors throughout the simulation period, and household states may evolve endogenously in response to flood experience and insurance outcomes.</w:t>
      </w:r>
    </w:p>
    <w:p w14:paraId="10FD7BD3" w14:textId="4CDE52BE" w:rsidR="003E77E4" w:rsidRPr="00D458EF" w:rsidRDefault="003E77E4" w:rsidP="00B5771B">
      <w:pPr>
        <w:pStyle w:val="a3"/>
        <w:spacing w:line="360" w:lineRule="auto"/>
        <w:ind w:leftChars="644" w:left="1417"/>
        <w:jc w:val="both"/>
        <w:rPr>
          <w:rFonts w:ascii="Times New Roman" w:hAnsi="Times New Roman" w:cs="Times New Roman"/>
          <w:bCs/>
          <w:lang w:val="en-US"/>
        </w:rPr>
      </w:pPr>
      <w:r w:rsidRPr="00D458EF">
        <w:rPr>
          <w:rFonts w:ascii="Times New Roman" w:hAnsi="Times New Roman" w:cs="Times New Roman"/>
          <w:bCs/>
          <w:lang w:val="en-US"/>
        </w:rPr>
        <w:tab/>
      </w:r>
      <w:r w:rsidRPr="00D458EF">
        <w:rPr>
          <w:rFonts w:ascii="Times New Roman" w:hAnsi="Times New Roman" w:cs="Times New Roman"/>
          <w:bCs/>
          <w:lang w:val="en-US"/>
        </w:rPr>
        <w:tab/>
        <w:t>The worst-case scenario represents a counterfactual setting in which no adaptive behaviors are permitted during the simulation horizon. Household exposure, vulnerability, and location remain fixed at their initial states, and insurance coverage</w:t>
      </w:r>
      <w:r w:rsidR="001A084F">
        <w:rPr>
          <w:rFonts w:ascii="Times New Roman" w:hAnsi="Times New Roman" w:cs="Times New Roman" w:hint="eastAsia"/>
          <w:bCs/>
          <w:lang w:val="en-US"/>
        </w:rPr>
        <w:t xml:space="preserve"> </w:t>
      </w:r>
      <w:r w:rsidR="001A084F" w:rsidRPr="001A084F">
        <w:rPr>
          <w:rFonts w:ascii="Times New Roman" w:hAnsi="Times New Roman" w:cs="Times New Roman"/>
          <w:bCs/>
          <w:lang w:val="en-US"/>
        </w:rPr>
        <w:t>remains fixed at its baseline level in the worst‑case scenario</w:t>
      </w:r>
      <w:r w:rsidRPr="00D458EF">
        <w:rPr>
          <w:rFonts w:ascii="Times New Roman" w:hAnsi="Times New Roman" w:cs="Times New Roman"/>
          <w:bCs/>
          <w:lang w:val="en-US"/>
        </w:rPr>
        <w:t>. Insured households retain their initial policies, while uninsured households remain uninsured, and no new insurance uptake or other adaptation actions are allowed during the simulation period. Both scenarios are simulated using the same flood event sequence and temporal horizon, ensuring that differences in outcomes can be attributed solely to the presence or absence of adaptive household behavior.</w:t>
      </w:r>
    </w:p>
    <w:p w14:paraId="7D66289F" w14:textId="77777777" w:rsidR="003E77E4" w:rsidRPr="00D458EF" w:rsidRDefault="003E77E4" w:rsidP="005B487C">
      <w:pPr>
        <w:pStyle w:val="a3"/>
        <w:spacing w:line="360" w:lineRule="auto"/>
        <w:ind w:leftChars="0" w:left="1440"/>
        <w:rPr>
          <w:rFonts w:ascii="Times New Roman" w:hAnsi="Times New Roman" w:cs="Times New Roman"/>
          <w:bCs/>
        </w:rPr>
      </w:pPr>
    </w:p>
    <w:p w14:paraId="21047338" w14:textId="704F59D8" w:rsidR="00F66BD9" w:rsidRPr="00D458EF" w:rsidRDefault="00F66BD9" w:rsidP="005B487C">
      <w:pPr>
        <w:pStyle w:val="a3"/>
        <w:numPr>
          <w:ilvl w:val="0"/>
          <w:numId w:val="21"/>
        </w:numPr>
        <w:spacing w:line="360" w:lineRule="auto"/>
        <w:ind w:leftChars="0" w:left="357" w:hanging="357"/>
        <w:outlineLvl w:val="0"/>
        <w:rPr>
          <w:rFonts w:ascii="Times New Roman" w:hAnsi="Times New Roman" w:cs="Times New Roman"/>
          <w:b/>
        </w:rPr>
      </w:pPr>
      <w:r w:rsidRPr="00D458EF">
        <w:rPr>
          <w:rFonts w:ascii="Times New Roman" w:hAnsi="Times New Roman" w:cs="Times New Roman"/>
          <w:b/>
        </w:rPr>
        <w:t>Result</w:t>
      </w:r>
    </w:p>
    <w:p w14:paraId="678B44A1" w14:textId="7068D606" w:rsidR="004A0A62" w:rsidRPr="00C517E4" w:rsidRDefault="00CA3FCA" w:rsidP="005B487C">
      <w:pPr>
        <w:pStyle w:val="a3"/>
        <w:numPr>
          <w:ilvl w:val="0"/>
          <w:numId w:val="29"/>
        </w:numPr>
        <w:spacing w:line="360" w:lineRule="auto"/>
        <w:ind w:leftChars="0" w:left="482" w:hanging="482"/>
        <w:outlineLvl w:val="1"/>
        <w:rPr>
          <w:rFonts w:ascii="Times New Roman" w:hAnsi="Times New Roman" w:cs="Times New Roman"/>
          <w:b/>
        </w:rPr>
      </w:pPr>
      <w:r w:rsidRPr="00D458EF">
        <w:rPr>
          <w:rFonts w:ascii="Times New Roman" w:hAnsi="Times New Roman" w:cs="Times New Roman"/>
          <w:b/>
        </w:rPr>
        <w:t>Model Diagnostics</w:t>
      </w:r>
    </w:p>
    <w:p w14:paraId="0F4F5176" w14:textId="4E08488B" w:rsidR="004A0A62" w:rsidRPr="00D458EF" w:rsidRDefault="00B72DF4" w:rsidP="005B487C">
      <w:pPr>
        <w:pStyle w:val="a3"/>
        <w:numPr>
          <w:ilvl w:val="0"/>
          <w:numId w:val="35"/>
        </w:numPr>
        <w:spacing w:line="360" w:lineRule="auto"/>
        <w:ind w:leftChars="0" w:left="1418"/>
        <w:rPr>
          <w:rFonts w:ascii="Times New Roman" w:hAnsi="Times New Roman" w:cs="Times New Roman"/>
          <w:b/>
        </w:rPr>
      </w:pPr>
      <w:r w:rsidRPr="00D458EF">
        <w:rPr>
          <w:rFonts w:ascii="Times New Roman" w:hAnsi="Times New Roman" w:cs="Times New Roman"/>
          <w:bCs/>
        </w:rPr>
        <w:t xml:space="preserve">Validation approach and </w:t>
      </w:r>
      <w:r w:rsidR="003A07C4">
        <w:rPr>
          <w:rFonts w:ascii="Times New Roman" w:hAnsi="Times New Roman" w:cs="Times New Roman" w:hint="eastAsia"/>
          <w:bCs/>
        </w:rPr>
        <w:t>aggre</w:t>
      </w:r>
      <w:r w:rsidR="003C47B5">
        <w:rPr>
          <w:rFonts w:ascii="Times New Roman" w:hAnsi="Times New Roman" w:cs="Times New Roman" w:hint="eastAsia"/>
          <w:bCs/>
        </w:rPr>
        <w:t>gation</w:t>
      </w:r>
    </w:p>
    <w:p w14:paraId="5C2B733C" w14:textId="0B22CF67" w:rsidR="007178DD" w:rsidRPr="006D7DE6" w:rsidRDefault="0022211C" w:rsidP="00E27C2E">
      <w:pPr>
        <w:pStyle w:val="a3"/>
        <w:spacing w:line="360" w:lineRule="auto"/>
        <w:ind w:leftChars="644" w:left="1417" w:firstLine="24"/>
        <w:jc w:val="both"/>
        <w:rPr>
          <w:rFonts w:ascii="Times New Roman" w:hAnsi="Times New Roman" w:cs="Times New Roman"/>
        </w:rPr>
      </w:pPr>
      <w:r w:rsidRPr="00D458EF">
        <w:rPr>
          <w:rFonts w:ascii="Times New Roman" w:hAnsi="Times New Roman" w:cs="Times New Roman"/>
        </w:rPr>
        <w:tab/>
      </w:r>
      <w:r w:rsidR="006D7DE6" w:rsidRPr="006D7DE6">
        <w:rPr>
          <w:rFonts w:ascii="Times New Roman" w:hAnsi="Times New Roman" w:cs="Times New Roman"/>
        </w:rPr>
        <w:t>To assess empirical consistency, simulated insurance payouts are compared with observed NFIP claims at the county level. Because the 27 targeted census tracts do not align cleanly with county boundaries, tract‑level validation is not feasible. Simulated payouts are therefore aggregated to the county scale and standardized using z‑scores to emphasize relative temporal fluctuations rather than absolute magnitudes. This normalization enables evaluation of whether the model reproduces year‑to‑year variation in flood‑related financial outcomes across Essex, Morris, and Passaic Counties.</w:t>
      </w:r>
    </w:p>
    <w:p w14:paraId="2E1FA85B" w14:textId="77777777" w:rsidR="007178DD" w:rsidRPr="00D458EF" w:rsidRDefault="007178DD" w:rsidP="00E27C2E">
      <w:pPr>
        <w:pStyle w:val="a3"/>
        <w:spacing w:line="360" w:lineRule="auto"/>
        <w:ind w:leftChars="0" w:left="482"/>
        <w:jc w:val="both"/>
        <w:rPr>
          <w:rFonts w:ascii="Times New Roman" w:hAnsi="Times New Roman" w:cs="Times New Roman"/>
          <w:b/>
        </w:rPr>
      </w:pPr>
    </w:p>
    <w:p w14:paraId="499FB1E0" w14:textId="5E9AF504" w:rsidR="007178DD" w:rsidRPr="00B7496A" w:rsidRDefault="003C47B5" w:rsidP="00E27C2E">
      <w:pPr>
        <w:pStyle w:val="a3"/>
        <w:numPr>
          <w:ilvl w:val="0"/>
          <w:numId w:val="35"/>
        </w:numPr>
        <w:spacing w:line="360" w:lineRule="auto"/>
        <w:ind w:leftChars="0" w:left="1418"/>
        <w:jc w:val="both"/>
        <w:rPr>
          <w:rFonts w:ascii="Times New Roman" w:hAnsi="Times New Roman" w:cs="Times New Roman"/>
          <w:b/>
        </w:rPr>
      </w:pPr>
      <w:r>
        <w:rPr>
          <w:rFonts w:ascii="Times New Roman" w:hAnsi="Times New Roman" w:cs="Times New Roman" w:hint="eastAsia"/>
          <w:bCs/>
        </w:rPr>
        <w:t xml:space="preserve">Warm-up </w:t>
      </w:r>
      <w:r w:rsidR="00B7496A">
        <w:rPr>
          <w:rFonts w:ascii="Times New Roman" w:hAnsi="Times New Roman" w:cs="Times New Roman" w:hint="eastAsia"/>
          <w:bCs/>
        </w:rPr>
        <w:t>treatment and evaluation window</w:t>
      </w:r>
    </w:p>
    <w:p w14:paraId="5D23D768" w14:textId="7F02A96D" w:rsidR="0022211C" w:rsidRPr="00D458EF" w:rsidRDefault="007178DD" w:rsidP="00E27C2E">
      <w:pPr>
        <w:pStyle w:val="a3"/>
        <w:spacing w:line="360" w:lineRule="auto"/>
        <w:ind w:leftChars="644" w:left="1417" w:firstLine="1"/>
        <w:jc w:val="both"/>
        <w:rPr>
          <w:rFonts w:ascii="Times New Roman" w:hAnsi="Times New Roman" w:cs="Times New Roman"/>
        </w:rPr>
      </w:pPr>
      <w:r w:rsidRPr="00D458EF">
        <w:rPr>
          <w:rFonts w:ascii="Times New Roman" w:hAnsi="Times New Roman" w:cs="Times New Roman"/>
        </w:rPr>
        <w:lastRenderedPageBreak/>
        <w:tab/>
      </w:r>
      <w:r w:rsidR="0022211C" w:rsidRPr="00D458EF">
        <w:rPr>
          <w:rFonts w:ascii="Times New Roman" w:hAnsi="Times New Roman" w:cs="Times New Roman"/>
        </w:rPr>
        <w:tab/>
        <w:t xml:space="preserve">The first two simulation years (2011-2012) are designated as a warm-up period (indicated by gray shading in </w:t>
      </w:r>
      <w:r w:rsidR="0022211C" w:rsidRPr="007E448A">
        <w:rPr>
          <w:rFonts w:ascii="Times New Roman" w:hAnsi="Times New Roman" w:cs="Times New Roman"/>
          <w:b/>
          <w:bCs/>
        </w:rPr>
        <w:t xml:space="preserve">Figure </w:t>
      </w:r>
      <w:r w:rsidR="00927384" w:rsidRPr="007E448A">
        <w:rPr>
          <w:rFonts w:ascii="Times New Roman" w:hAnsi="Times New Roman" w:cs="Times New Roman" w:hint="eastAsia"/>
          <w:b/>
          <w:bCs/>
        </w:rPr>
        <w:t>3</w:t>
      </w:r>
      <w:r w:rsidR="0022211C" w:rsidRPr="00D458EF">
        <w:rPr>
          <w:rFonts w:ascii="Times New Roman" w:hAnsi="Times New Roman" w:cs="Times New Roman"/>
        </w:rPr>
        <w:t>). During this initialization phase, agents establish baseline behavioral states, insurance coverage stabilizes, and threat perception dynamics equilibrate following the initial sampling from calibrated distributions. Validation metrics are computed exclusively from the post-warm-up period (2013-2023) to ensure that model performance reflects stabilized behavioral dynamics rather than transient initialization effects.</w:t>
      </w:r>
    </w:p>
    <w:p w14:paraId="124FD580" w14:textId="77777777" w:rsidR="004A0A62" w:rsidRPr="00D458EF" w:rsidRDefault="004A0A62" w:rsidP="00E27C2E">
      <w:pPr>
        <w:pStyle w:val="a3"/>
        <w:spacing w:line="360" w:lineRule="auto"/>
        <w:ind w:leftChars="644" w:left="1417" w:firstLine="1"/>
        <w:jc w:val="both"/>
        <w:rPr>
          <w:rFonts w:ascii="Times New Roman" w:hAnsi="Times New Roman" w:cs="Times New Roman"/>
          <w:b/>
        </w:rPr>
      </w:pPr>
    </w:p>
    <w:p w14:paraId="7F137B5E" w14:textId="12E09D12" w:rsidR="004A0A62" w:rsidRDefault="005353F9" w:rsidP="00E27C2E">
      <w:pPr>
        <w:pStyle w:val="a3"/>
        <w:spacing w:line="360" w:lineRule="auto"/>
        <w:ind w:leftChars="0" w:left="482"/>
        <w:jc w:val="center"/>
        <w:rPr>
          <w:rFonts w:ascii="Times New Roman" w:hAnsi="Times New Roman" w:cs="Times New Roman"/>
          <w:b/>
        </w:rPr>
      </w:pPr>
      <w:r>
        <w:rPr>
          <w:noProof/>
        </w:rPr>
        <w:lastRenderedPageBreak/>
        <w:drawing>
          <wp:inline distT="0" distB="0" distL="0" distR="0" wp14:anchorId="4DF67EE6" wp14:editId="3EE662EC">
            <wp:extent cx="5029200" cy="8229600"/>
            <wp:effectExtent l="0" t="0" r="0" b="0"/>
            <wp:docPr id="1302452928" name="圖片 1" descr="一張含有 文字, 圖表, 行,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52928" name="圖片 1" descr="一張含有 文字, 圖表, 行, 字型 的圖片&#10;&#10;AI 產生的內容可能不正確。"/>
                    <pic:cNvPicPr/>
                  </pic:nvPicPr>
                  <pic:blipFill>
                    <a:blip r:embed="rId9"/>
                    <a:stretch>
                      <a:fillRect/>
                    </a:stretch>
                  </pic:blipFill>
                  <pic:spPr>
                    <a:xfrm>
                      <a:off x="0" y="0"/>
                      <a:ext cx="5029200" cy="8229600"/>
                    </a:xfrm>
                    <a:prstGeom prst="rect">
                      <a:avLst/>
                    </a:prstGeom>
                  </pic:spPr>
                </pic:pic>
              </a:graphicData>
            </a:graphic>
          </wp:inline>
        </w:drawing>
      </w:r>
    </w:p>
    <w:p w14:paraId="1971F0FA" w14:textId="576451B3" w:rsidR="008D752D" w:rsidRDefault="00927384" w:rsidP="00BE706B">
      <w:pPr>
        <w:pStyle w:val="a3"/>
        <w:spacing w:line="360" w:lineRule="auto"/>
        <w:ind w:leftChars="0" w:left="0"/>
        <w:jc w:val="both"/>
        <w:rPr>
          <w:rFonts w:ascii="Times New Roman" w:hAnsi="Times New Roman" w:cs="Times New Roman"/>
          <w:bCs/>
        </w:rPr>
      </w:pPr>
      <w:r w:rsidRPr="001916D5">
        <w:rPr>
          <w:rFonts w:ascii="Times New Roman" w:hAnsi="Times New Roman" w:cs="Times New Roman"/>
          <w:b/>
          <w:bCs/>
        </w:rPr>
        <w:lastRenderedPageBreak/>
        <w:t xml:space="preserve">Figure </w:t>
      </w:r>
      <w:r>
        <w:rPr>
          <w:rFonts w:ascii="Times New Roman" w:hAnsi="Times New Roman" w:cs="Times New Roman" w:hint="eastAsia"/>
          <w:b/>
          <w:bCs/>
        </w:rPr>
        <w:t>3</w:t>
      </w:r>
      <w:r w:rsidRPr="001916D5">
        <w:rPr>
          <w:rFonts w:ascii="Times New Roman" w:hAnsi="Times New Roman" w:cs="Times New Roman"/>
          <w:b/>
          <w:bCs/>
        </w:rPr>
        <w:t xml:space="preserve">. </w:t>
      </w:r>
      <w:r w:rsidRPr="001916D5">
        <w:rPr>
          <w:rFonts w:ascii="Times New Roman" w:hAnsi="Times New Roman" w:cs="Times New Roman"/>
        </w:rPr>
        <w:t>Comparison of simulated and observed insurance payouts</w:t>
      </w:r>
      <w:r w:rsidRPr="001916D5">
        <w:rPr>
          <w:rFonts w:ascii="Times New Roman" w:hAnsi="Times New Roman" w:cs="Times New Roman" w:hint="eastAsia"/>
        </w:rPr>
        <w:t>.</w:t>
      </w:r>
      <w:r>
        <w:rPr>
          <w:rFonts w:ascii="Times New Roman" w:hAnsi="Times New Roman" w:cs="Times New Roman" w:hint="eastAsia"/>
          <w:b/>
          <w:bCs/>
        </w:rPr>
        <w:t xml:space="preserve"> </w:t>
      </w:r>
      <w:r w:rsidRPr="001916D5">
        <w:rPr>
          <w:rFonts w:ascii="Times New Roman" w:hAnsi="Times New Roman" w:cs="Times New Roman"/>
          <w:bCs/>
        </w:rPr>
        <w:t>(a) Essex County, (b) Morris County, (c) Passaic County, and (d)</w:t>
      </w:r>
      <w:r w:rsidR="00872F3B">
        <w:rPr>
          <w:rFonts w:ascii="Times New Roman" w:hAnsi="Times New Roman" w:cs="Times New Roman" w:hint="eastAsia"/>
          <w:bCs/>
        </w:rPr>
        <w:t xml:space="preserve"> </w:t>
      </w:r>
      <w:r w:rsidRPr="001916D5">
        <w:rPr>
          <w:rFonts w:ascii="Times New Roman" w:hAnsi="Times New Roman" w:cs="Times New Roman"/>
          <w:bCs/>
        </w:rPr>
        <w:t>correlation between simulated and observed standardized NFIP payouts (2011–2023; warm-up period shaded).</w:t>
      </w:r>
    </w:p>
    <w:p w14:paraId="659220E5" w14:textId="77777777" w:rsidR="007D4CD9" w:rsidRPr="00D458EF" w:rsidRDefault="007D4CD9" w:rsidP="00BE706B">
      <w:pPr>
        <w:pStyle w:val="a3"/>
        <w:spacing w:line="360" w:lineRule="auto"/>
        <w:ind w:leftChars="0" w:left="0"/>
        <w:jc w:val="both"/>
        <w:rPr>
          <w:rFonts w:ascii="Times New Roman" w:hAnsi="Times New Roman" w:cs="Times New Roman"/>
          <w:b/>
        </w:rPr>
      </w:pPr>
    </w:p>
    <w:p w14:paraId="0E0E4751" w14:textId="1ED28FE2" w:rsidR="0041337B" w:rsidRPr="00D458EF" w:rsidRDefault="0041337B" w:rsidP="00BE706B">
      <w:pPr>
        <w:pStyle w:val="a3"/>
        <w:numPr>
          <w:ilvl w:val="0"/>
          <w:numId w:val="29"/>
        </w:numPr>
        <w:spacing w:line="360" w:lineRule="auto"/>
        <w:ind w:leftChars="0" w:left="482" w:hanging="482"/>
        <w:jc w:val="both"/>
        <w:outlineLvl w:val="1"/>
        <w:rPr>
          <w:rFonts w:ascii="Times New Roman" w:hAnsi="Times New Roman" w:cs="Times New Roman"/>
          <w:b/>
        </w:rPr>
      </w:pPr>
      <w:r w:rsidRPr="00D458EF">
        <w:rPr>
          <w:rFonts w:ascii="Times New Roman" w:hAnsi="Times New Roman" w:cs="Times New Roman"/>
          <w:b/>
        </w:rPr>
        <w:t xml:space="preserve">Comparison of </w:t>
      </w:r>
      <w:r w:rsidR="008422C3" w:rsidRPr="00D458EF">
        <w:rPr>
          <w:rFonts w:ascii="Times New Roman" w:hAnsi="Times New Roman" w:cs="Times New Roman"/>
          <w:b/>
        </w:rPr>
        <w:t>baseline and worst scenario</w:t>
      </w:r>
    </w:p>
    <w:p w14:paraId="7ED67821" w14:textId="2BD83860" w:rsidR="00875057" w:rsidRPr="00D458EF" w:rsidRDefault="00565AEC" w:rsidP="00BE706B">
      <w:pPr>
        <w:pStyle w:val="a3"/>
        <w:numPr>
          <w:ilvl w:val="0"/>
          <w:numId w:val="46"/>
        </w:numPr>
        <w:spacing w:line="360" w:lineRule="auto"/>
        <w:ind w:leftChars="0"/>
        <w:jc w:val="both"/>
        <w:rPr>
          <w:rFonts w:ascii="Times New Roman" w:hAnsi="Times New Roman" w:cs="Times New Roman"/>
          <w:b/>
        </w:rPr>
      </w:pPr>
      <w:r w:rsidRPr="00D458EF">
        <w:rPr>
          <w:rFonts w:ascii="Times New Roman" w:hAnsi="Times New Roman" w:cs="Times New Roman"/>
          <w:bCs/>
        </w:rPr>
        <w:t>Cumulative flood damage and payout per household</w:t>
      </w:r>
    </w:p>
    <w:p w14:paraId="156C33E8" w14:textId="51E97C43" w:rsidR="00815ABC" w:rsidRPr="00D458EF" w:rsidRDefault="00815ABC" w:rsidP="00BE706B">
      <w:pPr>
        <w:pStyle w:val="a3"/>
        <w:spacing w:line="360" w:lineRule="auto"/>
        <w:ind w:leftChars="644" w:left="1417" w:firstLine="1"/>
        <w:jc w:val="both"/>
        <w:rPr>
          <w:rFonts w:ascii="Times New Roman" w:hAnsi="Times New Roman" w:cs="Times New Roman"/>
          <w:bCs/>
          <w:lang w:val="en-US"/>
        </w:rPr>
      </w:pPr>
      <w:r w:rsidRPr="00D458EF">
        <w:rPr>
          <w:rFonts w:ascii="Times New Roman" w:hAnsi="Times New Roman" w:cs="Times New Roman"/>
          <w:bCs/>
          <w:lang w:val="en-US"/>
        </w:rPr>
        <w:tab/>
      </w:r>
      <w:r w:rsidRPr="00D458EF">
        <w:rPr>
          <w:rFonts w:ascii="Times New Roman" w:hAnsi="Times New Roman" w:cs="Times New Roman"/>
          <w:bCs/>
          <w:lang w:val="en-US"/>
        </w:rPr>
        <w:tab/>
      </w:r>
      <w:r w:rsidR="009E5D49" w:rsidRPr="00D458EF">
        <w:rPr>
          <w:rFonts w:ascii="Times New Roman" w:hAnsi="Times New Roman" w:cs="Times New Roman"/>
          <w:bCs/>
        </w:rPr>
        <w:t>Over the full simulation horizon from 2011 to 2023, cumulative flood outcomes diverge systematically between the baseline and worst-case scenarios for both homeowners and renters (</w:t>
      </w:r>
      <w:r w:rsidR="009E5D49" w:rsidRPr="007E448A">
        <w:rPr>
          <w:rFonts w:ascii="Times New Roman" w:hAnsi="Times New Roman" w:cs="Times New Roman"/>
          <w:b/>
        </w:rPr>
        <w:t xml:space="preserve">Figure </w:t>
      </w:r>
      <w:r w:rsidR="008D752D" w:rsidRPr="007E448A">
        <w:rPr>
          <w:rFonts w:ascii="Times New Roman" w:hAnsi="Times New Roman" w:cs="Times New Roman" w:hint="eastAsia"/>
          <w:b/>
        </w:rPr>
        <w:t>4</w:t>
      </w:r>
      <w:r w:rsidR="009E5D49" w:rsidRPr="00D458EF">
        <w:rPr>
          <w:rFonts w:ascii="Times New Roman" w:hAnsi="Times New Roman" w:cs="Times New Roman"/>
          <w:bCs/>
        </w:rPr>
        <w:t>).</w:t>
      </w:r>
      <w:r w:rsidR="00E8053B" w:rsidRPr="00D458EF">
        <w:rPr>
          <w:rFonts w:ascii="Times New Roman" w:hAnsi="Times New Roman" w:cs="Times New Roman"/>
          <w:bCs/>
        </w:rPr>
        <w:t xml:space="preserve"> Under the worst-case scenario, cumulative average flood damage increases steadily for both tenure groups, whereas the baseline scenario consistently limits long-term damage accumulation. Homeowners incur substantially higher absolute flood damages than renters across all years, reflecting greater exposure and asset values. Despite lower overall damage levels, renters display a pronounced separation between scenarios over time. When insurance payouts are accounted for, cumulative </w:t>
      </w:r>
      <w:r w:rsidR="00DC680D">
        <w:rPr>
          <w:rFonts w:ascii="Times New Roman" w:hAnsi="Times New Roman" w:cs="Times New Roman"/>
          <w:bCs/>
        </w:rPr>
        <w:t>actual</w:t>
      </w:r>
      <w:r w:rsidR="00E8053B" w:rsidRPr="00D458EF">
        <w:rPr>
          <w:rFonts w:ascii="Times New Roman" w:hAnsi="Times New Roman" w:cs="Times New Roman"/>
          <w:bCs/>
        </w:rPr>
        <w:t xml:space="preserve"> losses remain markedly lower in the baseline scenario for both groups, with the gap between scenarios widening progressively and producing increasingly distinct long-term financial trajectories.</w:t>
      </w:r>
    </w:p>
    <w:p w14:paraId="330D4B7F" w14:textId="77777777" w:rsidR="00815ABC" w:rsidRPr="00D458EF" w:rsidRDefault="00815ABC" w:rsidP="00BE706B">
      <w:pPr>
        <w:pStyle w:val="a3"/>
        <w:spacing w:line="360" w:lineRule="auto"/>
        <w:ind w:leftChars="0" w:left="1418"/>
        <w:jc w:val="both"/>
        <w:rPr>
          <w:rFonts w:ascii="Times New Roman" w:hAnsi="Times New Roman" w:cs="Times New Roman"/>
          <w:b/>
        </w:rPr>
      </w:pPr>
    </w:p>
    <w:p w14:paraId="709F72B5" w14:textId="50E35FC2" w:rsidR="00875057" w:rsidRPr="00D458EF" w:rsidRDefault="00565AEC" w:rsidP="00BE706B">
      <w:pPr>
        <w:pStyle w:val="a3"/>
        <w:numPr>
          <w:ilvl w:val="0"/>
          <w:numId w:val="46"/>
        </w:numPr>
        <w:spacing w:line="360" w:lineRule="auto"/>
        <w:ind w:leftChars="0" w:left="1418"/>
        <w:jc w:val="both"/>
        <w:rPr>
          <w:rFonts w:ascii="Times New Roman" w:hAnsi="Times New Roman" w:cs="Times New Roman"/>
          <w:b/>
        </w:rPr>
      </w:pPr>
      <w:r w:rsidRPr="00D458EF">
        <w:rPr>
          <w:rFonts w:ascii="Times New Roman" w:hAnsi="Times New Roman" w:cs="Times New Roman"/>
          <w:bCs/>
        </w:rPr>
        <w:t xml:space="preserve">Flood damage and financial outcome </w:t>
      </w:r>
      <w:r w:rsidR="00346692" w:rsidRPr="00D458EF">
        <w:rPr>
          <w:rFonts w:ascii="Times New Roman" w:hAnsi="Times New Roman" w:cs="Times New Roman"/>
          <w:bCs/>
        </w:rPr>
        <w:t>in the early</w:t>
      </w:r>
      <w:r w:rsidRPr="00D458EF">
        <w:rPr>
          <w:rFonts w:ascii="Times New Roman" w:hAnsi="Times New Roman" w:cs="Times New Roman"/>
          <w:bCs/>
        </w:rPr>
        <w:t xml:space="preserve"> and late </w:t>
      </w:r>
      <w:r w:rsidR="001C4A29" w:rsidRPr="00D458EF">
        <w:rPr>
          <w:rFonts w:ascii="Times New Roman" w:hAnsi="Times New Roman" w:cs="Times New Roman"/>
          <w:bCs/>
        </w:rPr>
        <w:t>periods</w:t>
      </w:r>
    </w:p>
    <w:p w14:paraId="56358020" w14:textId="1AD11CBF" w:rsidR="00D0420B" w:rsidRPr="00D458EF" w:rsidRDefault="00A22AE0" w:rsidP="00BE706B">
      <w:pPr>
        <w:pStyle w:val="a3"/>
        <w:spacing w:line="360" w:lineRule="auto"/>
        <w:ind w:leftChars="644" w:left="1417"/>
        <w:jc w:val="both"/>
        <w:rPr>
          <w:rFonts w:ascii="Times New Roman" w:hAnsi="Times New Roman" w:cs="Times New Roman"/>
          <w:bCs/>
          <w:lang w:val="en-US"/>
        </w:rPr>
      </w:pPr>
      <w:r w:rsidRPr="00D458EF">
        <w:rPr>
          <w:rFonts w:ascii="Times New Roman" w:hAnsi="Times New Roman" w:cs="Times New Roman"/>
          <w:b/>
        </w:rPr>
        <w:tab/>
      </w:r>
      <w:r w:rsidRPr="00D458EF">
        <w:rPr>
          <w:rFonts w:ascii="Times New Roman" w:hAnsi="Times New Roman" w:cs="Times New Roman"/>
          <w:b/>
        </w:rPr>
        <w:tab/>
      </w:r>
      <w:r w:rsidR="00E67578" w:rsidRPr="00D458EF">
        <w:rPr>
          <w:rFonts w:ascii="Times New Roman" w:hAnsi="Times New Roman" w:cs="Times New Roman"/>
          <w:bCs/>
        </w:rPr>
        <w:t>Disaggregating cumulative outcomes into early and late periods clarifies how scenario differences evolve when accumulation is evaluated within distinct time windows (</w:t>
      </w:r>
      <w:r w:rsidR="00E67578" w:rsidRPr="0026373C">
        <w:rPr>
          <w:rFonts w:ascii="Times New Roman" w:hAnsi="Times New Roman" w:cs="Times New Roman"/>
          <w:b/>
        </w:rPr>
        <w:t xml:space="preserve">Figure </w:t>
      </w:r>
      <w:r w:rsidR="008D752D" w:rsidRPr="0026373C">
        <w:rPr>
          <w:rFonts w:ascii="Times New Roman" w:hAnsi="Times New Roman" w:cs="Times New Roman" w:hint="eastAsia"/>
          <w:b/>
        </w:rPr>
        <w:t>5</w:t>
      </w:r>
      <w:r w:rsidR="00E67578" w:rsidRPr="00D458EF">
        <w:rPr>
          <w:rFonts w:ascii="Times New Roman" w:hAnsi="Times New Roman" w:cs="Times New Roman"/>
          <w:bCs/>
        </w:rPr>
        <w:t xml:space="preserve">). For each period, flood damages and insurance outcomes are cumulatively aggregated from the beginning of that period, allowing direct comparison of scenario divergence under comparable accumulation lengths. During the early period (2011–2016), tract-level flood damages </w:t>
      </w:r>
      <w:r w:rsidR="00546F32">
        <w:rPr>
          <w:rFonts w:ascii="Times New Roman" w:hAnsi="Times New Roman" w:cs="Times New Roman"/>
          <w:bCs/>
        </w:rPr>
        <w:t>remained</w:t>
      </w:r>
      <w:r w:rsidR="00E67578" w:rsidRPr="00D458EF">
        <w:rPr>
          <w:rFonts w:ascii="Times New Roman" w:hAnsi="Times New Roman" w:cs="Times New Roman"/>
          <w:bCs/>
        </w:rPr>
        <w:t xml:space="preserve"> broadly similar between baseline and worst-case scenarios for both homeowners and renters, with damage ratios close to one. By contrast, in the late period (2017–2023), scenario divergence intensifies markedly. Tract-level flood damage ratios increase sharply, particularly for homeowners, indicating substantially greater damage under the worst-case scenario. At the same time, differences in insurance payout rates expand for both tenure groups. Renters experience a comparatively larger relative widening in payout rate gaps during the late period, indicating growing financial divergence between scenarios as flood impacts accumulate within each period.</w:t>
      </w:r>
    </w:p>
    <w:p w14:paraId="64C897A9" w14:textId="5D813F50" w:rsidR="00875057" w:rsidRDefault="00A9742B" w:rsidP="005B487C">
      <w:pPr>
        <w:pStyle w:val="a3"/>
        <w:spacing w:line="360" w:lineRule="auto"/>
        <w:ind w:leftChars="0" w:left="0"/>
        <w:rPr>
          <w:rFonts w:ascii="Times New Roman" w:hAnsi="Times New Roman" w:cs="Times New Roman"/>
          <w:b/>
        </w:rPr>
      </w:pPr>
      <w:r w:rsidRPr="00D458EF">
        <w:rPr>
          <w:rFonts w:ascii="Times New Roman" w:hAnsi="Times New Roman" w:cs="Times New Roman"/>
          <w:b/>
          <w:noProof/>
        </w:rPr>
        <w:lastRenderedPageBreak/>
        <w:drawing>
          <wp:inline distT="0" distB="0" distL="0" distR="0" wp14:anchorId="57493249" wp14:editId="5ECB0E69">
            <wp:extent cx="5937250" cy="3587750"/>
            <wp:effectExtent l="0" t="0" r="6350" b="0"/>
            <wp:docPr id="9395339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3587750"/>
                    </a:xfrm>
                    <a:prstGeom prst="rect">
                      <a:avLst/>
                    </a:prstGeom>
                    <a:noFill/>
                    <a:ln>
                      <a:noFill/>
                    </a:ln>
                  </pic:spPr>
                </pic:pic>
              </a:graphicData>
            </a:graphic>
          </wp:inline>
        </w:drawing>
      </w:r>
    </w:p>
    <w:p w14:paraId="2DDFC340" w14:textId="0EBF1DAD" w:rsidR="000D0AC5" w:rsidRPr="00D458EF" w:rsidRDefault="00555DF2" w:rsidP="005B487C">
      <w:pPr>
        <w:pStyle w:val="a3"/>
        <w:spacing w:line="360" w:lineRule="auto"/>
        <w:ind w:leftChars="0" w:left="0"/>
        <w:rPr>
          <w:rFonts w:ascii="Times New Roman" w:hAnsi="Times New Roman" w:cs="Times New Roman"/>
          <w:b/>
        </w:rPr>
      </w:pPr>
      <w:r w:rsidRPr="00555DF2">
        <w:rPr>
          <w:rFonts w:ascii="Times New Roman" w:hAnsi="Times New Roman" w:cs="Times New Roman"/>
          <w:b/>
          <w:bCs/>
        </w:rPr>
        <w:t xml:space="preserve">Figure 4. </w:t>
      </w:r>
      <w:r w:rsidRPr="00555DF2">
        <w:rPr>
          <w:rFonts w:ascii="Times New Roman" w:hAnsi="Times New Roman" w:cs="Times New Roman"/>
        </w:rPr>
        <w:t>Cumulative flood damage and actual loss per household</w:t>
      </w:r>
      <w:r w:rsidR="00BF69A1">
        <w:rPr>
          <w:rFonts w:ascii="Times New Roman" w:hAnsi="Times New Roman" w:cs="Times New Roman" w:hint="eastAsia"/>
        </w:rPr>
        <w:t xml:space="preserve"> (HH)</w:t>
      </w:r>
      <w:r w:rsidRPr="00555DF2">
        <w:rPr>
          <w:rFonts w:ascii="Times New Roman" w:hAnsi="Times New Roman" w:cs="Times New Roman" w:hint="eastAsia"/>
        </w:rPr>
        <w:t xml:space="preserve">. </w:t>
      </w:r>
      <w:r w:rsidRPr="00555DF2">
        <w:rPr>
          <w:rFonts w:ascii="Times New Roman" w:hAnsi="Times New Roman" w:cs="Times New Roman"/>
        </w:rPr>
        <w:t>(a</w:t>
      </w:r>
      <w:r>
        <w:rPr>
          <w:rFonts w:ascii="Times New Roman" w:hAnsi="Times New Roman" w:cs="Times New Roman" w:hint="eastAsia"/>
        </w:rPr>
        <w:t>)(</w:t>
      </w:r>
      <w:r w:rsidRPr="00555DF2">
        <w:rPr>
          <w:rFonts w:ascii="Times New Roman" w:hAnsi="Times New Roman" w:cs="Times New Roman"/>
        </w:rPr>
        <w:t>c) flood damage and (b</w:t>
      </w:r>
      <w:r>
        <w:rPr>
          <w:rFonts w:ascii="Times New Roman" w:hAnsi="Times New Roman" w:cs="Times New Roman" w:hint="eastAsia"/>
        </w:rPr>
        <w:t>)(</w:t>
      </w:r>
      <w:r w:rsidRPr="00555DF2">
        <w:rPr>
          <w:rFonts w:ascii="Times New Roman" w:hAnsi="Times New Roman" w:cs="Times New Roman"/>
        </w:rPr>
        <w:t>d) actual loss for homeowners and renters.</w:t>
      </w:r>
      <w:r w:rsidR="00BF69A1">
        <w:rPr>
          <w:rFonts w:ascii="Times New Roman" w:hAnsi="Times New Roman" w:cs="Times New Roman" w:hint="eastAsia"/>
        </w:rPr>
        <w:t xml:space="preserve"> </w:t>
      </w:r>
    </w:p>
    <w:p w14:paraId="48D76FFC" w14:textId="16841DD5" w:rsidR="00A9742B" w:rsidRDefault="00527531" w:rsidP="005B487C">
      <w:pPr>
        <w:pStyle w:val="a3"/>
        <w:spacing w:line="360" w:lineRule="auto"/>
        <w:ind w:leftChars="0" w:left="0"/>
        <w:rPr>
          <w:rFonts w:ascii="Times New Roman" w:hAnsi="Times New Roman" w:cs="Times New Roman"/>
          <w:b/>
        </w:rPr>
      </w:pPr>
      <w:r>
        <w:rPr>
          <w:rFonts w:ascii="Times New Roman" w:hAnsi="Times New Roman" w:cs="Times New Roman"/>
          <w:b/>
          <w:noProof/>
        </w:rPr>
        <w:drawing>
          <wp:inline distT="0" distB="0" distL="0" distR="0" wp14:anchorId="6579442D" wp14:editId="6D5D528C">
            <wp:extent cx="5943600" cy="2414270"/>
            <wp:effectExtent l="0" t="0" r="0" b="5080"/>
            <wp:docPr id="1457780005" name="圖片 1"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80005" name="圖片 1" descr="一張含有 文字, 圖表, 螢幕擷取畫面, 行 的圖片&#10;&#10;AI 產生的內容可能不正確。"/>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14270"/>
                    </a:xfrm>
                    <a:prstGeom prst="rect">
                      <a:avLst/>
                    </a:prstGeom>
                  </pic:spPr>
                </pic:pic>
              </a:graphicData>
            </a:graphic>
          </wp:inline>
        </w:drawing>
      </w:r>
    </w:p>
    <w:p w14:paraId="3961A823" w14:textId="0705CB60" w:rsidR="00E55192" w:rsidRDefault="00E55192" w:rsidP="005A3846">
      <w:pPr>
        <w:pStyle w:val="a3"/>
        <w:spacing w:line="360" w:lineRule="auto"/>
        <w:ind w:leftChars="0" w:left="0"/>
        <w:jc w:val="both"/>
        <w:rPr>
          <w:rFonts w:ascii="Times New Roman" w:hAnsi="Times New Roman" w:cs="Times New Roman"/>
        </w:rPr>
      </w:pPr>
      <w:r w:rsidRPr="00E55192">
        <w:rPr>
          <w:rFonts w:ascii="Times New Roman" w:hAnsi="Times New Roman" w:cs="Times New Roman"/>
          <w:b/>
          <w:bCs/>
        </w:rPr>
        <w:t xml:space="preserve">Figure 5. </w:t>
      </w:r>
      <w:r w:rsidRPr="00E55192">
        <w:rPr>
          <w:rFonts w:ascii="Times New Roman" w:hAnsi="Times New Roman" w:cs="Times New Roman"/>
        </w:rPr>
        <w:t>Early- and late-period comparison of scenario divergence</w:t>
      </w:r>
      <w:r w:rsidRPr="00E55192">
        <w:rPr>
          <w:rFonts w:ascii="Times New Roman" w:hAnsi="Times New Roman" w:cs="Times New Roman" w:hint="eastAsia"/>
        </w:rPr>
        <w:t xml:space="preserve">. </w:t>
      </w:r>
      <w:r w:rsidRPr="00E55192">
        <w:rPr>
          <w:rFonts w:ascii="Times New Roman" w:hAnsi="Times New Roman" w:cs="Times New Roman"/>
        </w:rPr>
        <w:t>(a) tract-level flood damage ratio (worst-case/baseline) and (b) insurance payout rate gap for homeowners and renters. Shaded bars indicate the magnitude of divergence between baseline and worst-case scenarios.</w:t>
      </w:r>
    </w:p>
    <w:p w14:paraId="2EA3211D" w14:textId="77777777" w:rsidR="00E55192" w:rsidRPr="00D458EF" w:rsidRDefault="00E55192" w:rsidP="005B487C">
      <w:pPr>
        <w:pStyle w:val="a3"/>
        <w:spacing w:line="360" w:lineRule="auto"/>
        <w:ind w:leftChars="0" w:left="0"/>
        <w:rPr>
          <w:rFonts w:ascii="Times New Roman" w:hAnsi="Times New Roman" w:cs="Times New Roman"/>
          <w:b/>
        </w:rPr>
      </w:pPr>
    </w:p>
    <w:p w14:paraId="2AD25CE8" w14:textId="641EC6A8" w:rsidR="00346692" w:rsidRPr="00D458EF" w:rsidRDefault="008422C3" w:rsidP="005B487C">
      <w:pPr>
        <w:pStyle w:val="a3"/>
        <w:numPr>
          <w:ilvl w:val="0"/>
          <w:numId w:val="29"/>
        </w:numPr>
        <w:spacing w:line="360" w:lineRule="auto"/>
        <w:ind w:leftChars="0" w:left="482" w:hanging="482"/>
        <w:outlineLvl w:val="1"/>
        <w:rPr>
          <w:rFonts w:ascii="Times New Roman" w:hAnsi="Times New Roman" w:cs="Times New Roman"/>
          <w:b/>
        </w:rPr>
      </w:pPr>
      <w:r w:rsidRPr="00D458EF">
        <w:rPr>
          <w:rFonts w:ascii="Times New Roman" w:hAnsi="Times New Roman" w:cs="Times New Roman"/>
          <w:b/>
        </w:rPr>
        <w:t>Behavioral patterns of renters and homeowners</w:t>
      </w:r>
    </w:p>
    <w:p w14:paraId="4EE9EB2C" w14:textId="2B089794" w:rsidR="00346692" w:rsidRPr="00D458EF" w:rsidRDefault="00346692" w:rsidP="005A3846">
      <w:pPr>
        <w:pStyle w:val="a3"/>
        <w:numPr>
          <w:ilvl w:val="0"/>
          <w:numId w:val="36"/>
        </w:numPr>
        <w:spacing w:line="360" w:lineRule="auto"/>
        <w:ind w:leftChars="0"/>
        <w:jc w:val="both"/>
        <w:rPr>
          <w:rFonts w:ascii="Times New Roman" w:hAnsi="Times New Roman" w:cs="Times New Roman"/>
          <w:bCs/>
        </w:rPr>
      </w:pPr>
      <w:r w:rsidRPr="00D458EF">
        <w:rPr>
          <w:rFonts w:ascii="Times New Roman" w:hAnsi="Times New Roman" w:cs="Times New Roman"/>
          <w:bCs/>
        </w:rPr>
        <w:t xml:space="preserve">Overall behavioral composition of renters and homeowners </w:t>
      </w:r>
    </w:p>
    <w:p w14:paraId="239A7CEC" w14:textId="2F35E570" w:rsidR="0031599C" w:rsidRPr="00D458EF" w:rsidRDefault="00C71FF9" w:rsidP="005A3846">
      <w:pPr>
        <w:pStyle w:val="a3"/>
        <w:spacing w:line="360" w:lineRule="auto"/>
        <w:ind w:leftChars="0" w:left="1440"/>
        <w:jc w:val="both"/>
        <w:rPr>
          <w:rFonts w:ascii="Times New Roman" w:hAnsi="Times New Roman" w:cs="Times New Roman"/>
          <w:b/>
          <w:bCs/>
        </w:rPr>
      </w:pPr>
      <w:r w:rsidRPr="00D458EF">
        <w:rPr>
          <w:rFonts w:ascii="Times New Roman" w:hAnsi="Times New Roman" w:cs="Times New Roman"/>
          <w:bCs/>
        </w:rPr>
        <w:lastRenderedPageBreak/>
        <w:tab/>
      </w:r>
      <w:r w:rsidR="00145EFF" w:rsidRPr="00D458EF">
        <w:rPr>
          <w:rFonts w:ascii="Times New Roman" w:hAnsi="Times New Roman" w:cs="Times New Roman"/>
          <w:bCs/>
        </w:rPr>
        <w:t>Over the simulation period, homeowners and renters exhibit markedly different cumulative behavioral compositions (</w:t>
      </w:r>
      <w:r w:rsidR="00145EFF" w:rsidRPr="0026373C">
        <w:rPr>
          <w:rFonts w:ascii="Times New Roman" w:hAnsi="Times New Roman" w:cs="Times New Roman"/>
          <w:b/>
        </w:rPr>
        <w:t xml:space="preserve">Figure </w:t>
      </w:r>
      <w:r w:rsidR="005A0F40" w:rsidRPr="0026373C">
        <w:rPr>
          <w:rFonts w:ascii="Times New Roman" w:hAnsi="Times New Roman" w:cs="Times New Roman" w:hint="eastAsia"/>
          <w:b/>
        </w:rPr>
        <w:t>6</w:t>
      </w:r>
      <w:r w:rsidR="00145EFF" w:rsidRPr="00D458EF">
        <w:rPr>
          <w:rFonts w:ascii="Times New Roman" w:hAnsi="Times New Roman" w:cs="Times New Roman"/>
          <w:bCs/>
        </w:rPr>
        <w:t xml:space="preserve">). </w:t>
      </w:r>
      <w:r w:rsidR="00F83936" w:rsidRPr="00D458EF">
        <w:rPr>
          <w:rFonts w:ascii="Times New Roman" w:hAnsi="Times New Roman" w:cs="Times New Roman"/>
          <w:bCs/>
        </w:rPr>
        <w:t>The stacked distributions summarize the proportion of households in each behavioral state at a given year, reflecting the persistence of previously adopted actions rather than annual action frequencies.</w:t>
      </w:r>
      <w:r w:rsidR="00145EFF" w:rsidRPr="00D458EF">
        <w:rPr>
          <w:rFonts w:ascii="Times New Roman" w:hAnsi="Times New Roman" w:cs="Times New Roman"/>
          <w:bCs/>
        </w:rPr>
        <w:t xml:space="preserve"> Among homeowners, adaptive behaviors show clear accumulation, with a steady increase in elevation-related states and combined elevation–insurance strategies. Severe flood years are associated with visible shifts in homeowner behavior, most notably a pronounced increase in the share adopting both elevation and insurance following the 2021 event. Once adopted, these elevated states are largely maintained, resulting in an increasingly layered behavioral structure. In contrast, renters display limited structural change in cumulative behavioral composition. Renter behaviors remain concentrated in non-adaptive, insurance-only, and relocation states, with only modest fluctuations following severe flood events. Even when short-term changes occur, the overall composition stabilizes rapidly, indicating convergence toward a dynamic equilibrium rather than sustained accumulation of adaptive strategies. </w:t>
      </w:r>
      <w:r w:rsidR="00145EFF" w:rsidRPr="00D458EF">
        <w:rPr>
          <w:rFonts w:ascii="Times New Roman" w:hAnsi="Times New Roman" w:cs="Times New Roman"/>
        </w:rPr>
        <w:t>These contrasts highlight insurance uptake as a key adaptive behavior that responds sharply to flood experience yet differs markedly in persistence across tenure groups</w:t>
      </w:r>
      <w:r w:rsidR="00145EFF" w:rsidRPr="00D458EF">
        <w:rPr>
          <w:rFonts w:ascii="Times New Roman" w:hAnsi="Times New Roman" w:cs="Times New Roman"/>
          <w:b/>
          <w:bCs/>
        </w:rPr>
        <w:t>.</w:t>
      </w:r>
    </w:p>
    <w:p w14:paraId="4587425C" w14:textId="77777777" w:rsidR="00C71FF9" w:rsidRPr="00D458EF" w:rsidRDefault="00C71FF9" w:rsidP="005A3846">
      <w:pPr>
        <w:pStyle w:val="a3"/>
        <w:spacing w:line="360" w:lineRule="auto"/>
        <w:ind w:leftChars="0" w:left="1440"/>
        <w:jc w:val="both"/>
        <w:rPr>
          <w:rFonts w:ascii="Times New Roman" w:hAnsi="Times New Roman" w:cs="Times New Roman"/>
          <w:bCs/>
        </w:rPr>
      </w:pPr>
    </w:p>
    <w:p w14:paraId="58E04E63" w14:textId="6D9F06D8" w:rsidR="00EC4654" w:rsidRPr="003D36B4" w:rsidRDefault="00346692" w:rsidP="005A3846">
      <w:pPr>
        <w:pStyle w:val="a3"/>
        <w:numPr>
          <w:ilvl w:val="0"/>
          <w:numId w:val="36"/>
        </w:numPr>
        <w:spacing w:line="360" w:lineRule="auto"/>
        <w:ind w:leftChars="0"/>
        <w:jc w:val="both"/>
        <w:rPr>
          <w:rFonts w:ascii="Times New Roman" w:hAnsi="Times New Roman" w:cs="Times New Roman"/>
          <w:bCs/>
        </w:rPr>
      </w:pPr>
      <w:r w:rsidRPr="00D458EF">
        <w:rPr>
          <w:rFonts w:ascii="Times New Roman" w:hAnsi="Times New Roman" w:cs="Times New Roman"/>
          <w:bCs/>
        </w:rPr>
        <w:t xml:space="preserve">Change </w:t>
      </w:r>
      <w:r w:rsidR="001C4A29" w:rsidRPr="00D458EF">
        <w:rPr>
          <w:rFonts w:ascii="Times New Roman" w:hAnsi="Times New Roman" w:cs="Times New Roman"/>
          <w:bCs/>
        </w:rPr>
        <w:t>in</w:t>
      </w:r>
      <w:r w:rsidRPr="00D458EF">
        <w:rPr>
          <w:rFonts w:ascii="Times New Roman" w:hAnsi="Times New Roman" w:cs="Times New Roman"/>
          <w:bCs/>
        </w:rPr>
        <w:t xml:space="preserve"> </w:t>
      </w:r>
      <w:r w:rsidR="001C4A29" w:rsidRPr="00D458EF">
        <w:rPr>
          <w:rFonts w:ascii="Times New Roman" w:hAnsi="Times New Roman" w:cs="Times New Roman"/>
          <w:bCs/>
        </w:rPr>
        <w:t xml:space="preserve">the </w:t>
      </w:r>
      <w:r w:rsidRPr="00D458EF">
        <w:rPr>
          <w:rFonts w:ascii="Times New Roman" w:hAnsi="Times New Roman" w:cs="Times New Roman"/>
          <w:bCs/>
        </w:rPr>
        <w:t>insurance take-up rate before and after severe flood years</w:t>
      </w:r>
    </w:p>
    <w:p w14:paraId="3CA92529" w14:textId="7A0A4DF4" w:rsidR="002439C3" w:rsidRDefault="001310D4" w:rsidP="005A3846">
      <w:pPr>
        <w:pStyle w:val="a3"/>
        <w:spacing w:line="360" w:lineRule="auto"/>
        <w:ind w:leftChars="644" w:left="1417"/>
        <w:jc w:val="both"/>
        <w:rPr>
          <w:rFonts w:ascii="Times New Roman" w:hAnsi="Times New Roman" w:cs="Times New Roman"/>
          <w:bCs/>
        </w:rPr>
      </w:pPr>
      <w:r w:rsidRPr="00D458EF">
        <w:rPr>
          <w:rFonts w:ascii="Times New Roman" w:hAnsi="Times New Roman" w:cs="Times New Roman"/>
          <w:bCs/>
          <w:lang w:val="en-US"/>
        </w:rPr>
        <w:tab/>
      </w:r>
      <w:r w:rsidRPr="00D458EF">
        <w:rPr>
          <w:rFonts w:ascii="Times New Roman" w:hAnsi="Times New Roman" w:cs="Times New Roman"/>
          <w:bCs/>
          <w:lang w:val="en-US"/>
        </w:rPr>
        <w:tab/>
      </w:r>
      <w:r w:rsidR="00FA557B" w:rsidRPr="00FA557B">
        <w:rPr>
          <w:rFonts w:ascii="Times New Roman" w:hAnsi="Times New Roman" w:cs="Times New Roman"/>
          <w:bCs/>
        </w:rPr>
        <w:t>Following severe flood years, changes in insurance take-up rates exhibit pronounced spatial and tenure-based heterogeneity (</w:t>
      </w:r>
      <w:r w:rsidR="00FA557B" w:rsidRPr="00FA557B">
        <w:rPr>
          <w:rFonts w:ascii="Times New Roman" w:hAnsi="Times New Roman" w:cs="Times New Roman"/>
          <w:b/>
        </w:rPr>
        <w:t xml:space="preserve">Figure </w:t>
      </w:r>
      <w:r w:rsidR="00FA557B" w:rsidRPr="00FA557B">
        <w:rPr>
          <w:rFonts w:ascii="Times New Roman" w:hAnsi="Times New Roman" w:cs="Times New Roman" w:hint="eastAsia"/>
          <w:b/>
        </w:rPr>
        <w:t>7</w:t>
      </w:r>
      <w:r w:rsidR="00FA557B" w:rsidRPr="00FA557B">
        <w:rPr>
          <w:rFonts w:ascii="Times New Roman" w:hAnsi="Times New Roman" w:cs="Times New Roman"/>
          <w:bCs/>
        </w:rPr>
        <w:t>). The maps show tract-level changes in insurance participation relative to the year preceding severe flood events in 2014 and 2021. For homeowners, flood-prone tracts, identified by recurrent flood exposure over the study period, consistently exhibit increases in insurance take-up during severe flood years and maintain elevated participation one to two years post-event. In contrast, homeowners in non–flood-prone tracts tend to show declining insurance uptake following severe floods. Renters display a more transient response. Across both flood-prone and non–flood-prone tracts, increases in renter insurance take-up are generally short-lived, with participation rates declining within one to two years after severe flood events, despite localized heterogeneity.</w:t>
      </w:r>
    </w:p>
    <w:p w14:paraId="26F581E8" w14:textId="4D1A3026" w:rsidR="00AC2BB0" w:rsidRDefault="00006CEA" w:rsidP="005A3846">
      <w:pPr>
        <w:pStyle w:val="a3"/>
        <w:spacing w:line="360" w:lineRule="auto"/>
        <w:ind w:leftChars="0" w:left="0"/>
        <w:jc w:val="both"/>
        <w:rPr>
          <w:rFonts w:ascii="Times New Roman" w:hAnsi="Times New Roman" w:cs="Times New Roman"/>
          <w:bCs/>
          <w:lang w:val="en-US"/>
        </w:rPr>
      </w:pPr>
      <w:r>
        <w:rPr>
          <w:rFonts w:ascii="Times New Roman" w:hAnsi="Times New Roman" w:cs="Times New Roman"/>
          <w:bCs/>
          <w:noProof/>
          <w:lang w:val="en-US"/>
        </w:rPr>
        <w:lastRenderedPageBreak/>
        <w:drawing>
          <wp:inline distT="0" distB="0" distL="0" distR="0" wp14:anchorId="77D542A3" wp14:editId="1EF83EE0">
            <wp:extent cx="5931535" cy="5398770"/>
            <wp:effectExtent l="0" t="0" r="0" b="0"/>
            <wp:docPr id="11535719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1535" cy="5398770"/>
                    </a:xfrm>
                    <a:prstGeom prst="rect">
                      <a:avLst/>
                    </a:prstGeom>
                    <a:noFill/>
                    <a:ln>
                      <a:noFill/>
                    </a:ln>
                  </pic:spPr>
                </pic:pic>
              </a:graphicData>
            </a:graphic>
          </wp:inline>
        </w:drawing>
      </w:r>
    </w:p>
    <w:p w14:paraId="43177E67" w14:textId="201842FB" w:rsidR="00410518" w:rsidRPr="00D458EF" w:rsidRDefault="00410518" w:rsidP="005A3846">
      <w:pPr>
        <w:pStyle w:val="a3"/>
        <w:spacing w:line="360" w:lineRule="auto"/>
        <w:ind w:leftChars="0" w:left="0"/>
        <w:jc w:val="both"/>
        <w:rPr>
          <w:rFonts w:ascii="Times New Roman" w:hAnsi="Times New Roman" w:cs="Times New Roman"/>
          <w:bCs/>
          <w:lang w:val="en-US"/>
        </w:rPr>
      </w:pPr>
      <w:r w:rsidRPr="00410518">
        <w:rPr>
          <w:rFonts w:ascii="Times New Roman" w:hAnsi="Times New Roman" w:cs="Times New Roman"/>
          <w:b/>
          <w:bCs/>
        </w:rPr>
        <w:t xml:space="preserve">Figure 6. </w:t>
      </w:r>
      <w:r w:rsidRPr="00410518">
        <w:rPr>
          <w:rFonts w:ascii="Times New Roman" w:hAnsi="Times New Roman" w:cs="Times New Roman"/>
        </w:rPr>
        <w:t>Cumulative behavioral composition of homeowners and renters</w:t>
      </w:r>
      <w:r>
        <w:rPr>
          <w:rFonts w:ascii="Times New Roman" w:hAnsi="Times New Roman" w:cs="Times New Roman" w:hint="eastAsia"/>
        </w:rPr>
        <w:t>.</w:t>
      </w:r>
      <w:r>
        <w:rPr>
          <w:rFonts w:ascii="Times New Roman" w:hAnsi="Times New Roman" w:cs="Times New Roman" w:hint="eastAsia"/>
          <w:b/>
          <w:bCs/>
        </w:rPr>
        <w:t xml:space="preserve"> </w:t>
      </w:r>
      <w:r w:rsidRPr="00410518">
        <w:rPr>
          <w:rFonts w:ascii="Times New Roman" w:hAnsi="Times New Roman" w:cs="Times New Roman"/>
          <w:bCs/>
        </w:rPr>
        <w:t>(a) homeowners and (b) renters, showing the proportion of households in each behavioral state over time. Shaded bars indicate severe flood years.</w:t>
      </w:r>
    </w:p>
    <w:p w14:paraId="1EA0F62D" w14:textId="6221AD80" w:rsidR="00AC2BB0" w:rsidRDefault="00AC2BB0" w:rsidP="005A3846">
      <w:pPr>
        <w:pStyle w:val="a3"/>
        <w:spacing w:line="360" w:lineRule="auto"/>
        <w:ind w:leftChars="0" w:left="0"/>
        <w:jc w:val="both"/>
        <w:rPr>
          <w:rFonts w:ascii="Times New Roman" w:hAnsi="Times New Roman" w:cs="Times New Roman"/>
          <w:bCs/>
        </w:rPr>
      </w:pPr>
    </w:p>
    <w:p w14:paraId="2F1538A0" w14:textId="3F6AF50C" w:rsidR="00A2629C" w:rsidRDefault="00183981" w:rsidP="005A3846">
      <w:pPr>
        <w:pStyle w:val="a3"/>
        <w:spacing w:line="360" w:lineRule="auto"/>
        <w:ind w:leftChars="0" w:left="0"/>
        <w:jc w:val="both"/>
        <w:rPr>
          <w:rFonts w:ascii="Times New Roman" w:hAnsi="Times New Roman" w:cs="Times New Roman"/>
          <w:bCs/>
        </w:rPr>
      </w:pPr>
      <w:r>
        <w:rPr>
          <w:rFonts w:ascii="Times New Roman" w:hAnsi="Times New Roman" w:cs="Times New Roman" w:hint="eastAsia"/>
          <w:bCs/>
          <w:noProof/>
        </w:rPr>
        <w:lastRenderedPageBreak/>
        <w:drawing>
          <wp:inline distT="0" distB="0" distL="0" distR="0" wp14:anchorId="0547A481" wp14:editId="48469B3C">
            <wp:extent cx="6092260" cy="3583305"/>
            <wp:effectExtent l="0" t="0" r="3810" b="0"/>
            <wp:docPr id="422265568" name="圖片 3" descr="一張含有 文字, 地圖,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65568" name="圖片 3" descr="一張含有 文字, 地圖, 圖表 的圖片&#10;&#10;AI 產生的內容可能不正確。"/>
                    <pic:cNvPicPr/>
                  </pic:nvPicPr>
                  <pic:blipFill rotWithShape="1">
                    <a:blip r:embed="rId13" cstate="print">
                      <a:extLst>
                        <a:ext uri="{28A0092B-C50C-407E-A947-70E740481C1C}">
                          <a14:useLocalDpi xmlns:a14="http://schemas.microsoft.com/office/drawing/2010/main" val="0"/>
                        </a:ext>
                      </a:extLst>
                    </a:blip>
                    <a:srcRect l="8626" t="20341" r="13205" b="8598"/>
                    <a:stretch>
                      <a:fillRect/>
                    </a:stretch>
                  </pic:blipFill>
                  <pic:spPr bwMode="auto">
                    <a:xfrm>
                      <a:off x="0" y="0"/>
                      <a:ext cx="6105962" cy="3591364"/>
                    </a:xfrm>
                    <a:prstGeom prst="rect">
                      <a:avLst/>
                    </a:prstGeom>
                    <a:ln>
                      <a:noFill/>
                    </a:ln>
                    <a:extLst>
                      <a:ext uri="{53640926-AAD7-44D8-BBD7-CCE9431645EC}">
                        <a14:shadowObscured xmlns:a14="http://schemas.microsoft.com/office/drawing/2010/main"/>
                      </a:ext>
                    </a:extLst>
                  </pic:spPr>
                </pic:pic>
              </a:graphicData>
            </a:graphic>
          </wp:inline>
        </w:drawing>
      </w:r>
    </w:p>
    <w:p w14:paraId="5498D47B" w14:textId="7088575D" w:rsidR="00462B60" w:rsidRPr="00D458EF" w:rsidRDefault="00462B60" w:rsidP="005A3846">
      <w:pPr>
        <w:pStyle w:val="a3"/>
        <w:spacing w:line="360" w:lineRule="auto"/>
        <w:ind w:leftChars="0" w:left="0"/>
        <w:jc w:val="both"/>
        <w:rPr>
          <w:rFonts w:ascii="Times New Roman" w:hAnsi="Times New Roman" w:cs="Times New Roman"/>
          <w:bCs/>
          <w:lang w:val="en-US"/>
        </w:rPr>
      </w:pPr>
      <w:r w:rsidRPr="00410518">
        <w:rPr>
          <w:rFonts w:ascii="Times New Roman" w:hAnsi="Times New Roman" w:cs="Times New Roman"/>
          <w:b/>
          <w:bCs/>
        </w:rPr>
        <w:t xml:space="preserve">Figure </w:t>
      </w:r>
      <w:r w:rsidR="00D32039">
        <w:rPr>
          <w:rFonts w:ascii="Times New Roman" w:hAnsi="Times New Roman" w:cs="Times New Roman" w:hint="eastAsia"/>
          <w:b/>
          <w:bCs/>
        </w:rPr>
        <w:t>7</w:t>
      </w:r>
      <w:r w:rsidRPr="00410518">
        <w:rPr>
          <w:rFonts w:ascii="Times New Roman" w:hAnsi="Times New Roman" w:cs="Times New Roman"/>
          <w:b/>
          <w:bCs/>
        </w:rPr>
        <w:t xml:space="preserve">. </w:t>
      </w:r>
      <w:r w:rsidR="00D32039" w:rsidRPr="00D32039">
        <w:rPr>
          <w:rFonts w:ascii="Times New Roman" w:hAnsi="Times New Roman" w:cs="Times New Roman"/>
        </w:rPr>
        <w:t>Post-disaster changes in insurance take-up rates for homeowners and renters.</w:t>
      </w:r>
    </w:p>
    <w:p w14:paraId="392E792D" w14:textId="77777777" w:rsidR="00183981" w:rsidRPr="00D458EF" w:rsidRDefault="00183981" w:rsidP="005A3846">
      <w:pPr>
        <w:pStyle w:val="a3"/>
        <w:spacing w:line="360" w:lineRule="auto"/>
        <w:ind w:leftChars="0" w:left="0"/>
        <w:jc w:val="both"/>
        <w:rPr>
          <w:rFonts w:ascii="Times New Roman" w:hAnsi="Times New Roman" w:cs="Times New Roman"/>
          <w:bCs/>
        </w:rPr>
      </w:pPr>
    </w:p>
    <w:p w14:paraId="5FA7EDA6" w14:textId="78BEB97B" w:rsidR="008422C3" w:rsidRPr="00D458EF" w:rsidRDefault="008422C3" w:rsidP="005A3846">
      <w:pPr>
        <w:pStyle w:val="a3"/>
        <w:numPr>
          <w:ilvl w:val="0"/>
          <w:numId w:val="29"/>
        </w:numPr>
        <w:spacing w:line="360" w:lineRule="auto"/>
        <w:ind w:leftChars="0" w:left="482" w:hanging="482"/>
        <w:jc w:val="both"/>
        <w:outlineLvl w:val="1"/>
        <w:rPr>
          <w:rFonts w:ascii="Times New Roman" w:hAnsi="Times New Roman" w:cs="Times New Roman"/>
          <w:b/>
        </w:rPr>
      </w:pPr>
      <w:r w:rsidRPr="00D458EF">
        <w:rPr>
          <w:rFonts w:ascii="Times New Roman" w:hAnsi="Times New Roman" w:cs="Times New Roman"/>
          <w:b/>
        </w:rPr>
        <w:t>Flood damage and financial outcomes</w:t>
      </w:r>
    </w:p>
    <w:p w14:paraId="2EC94B5C" w14:textId="0DAE9494" w:rsidR="0004093B" w:rsidRPr="00D458EF" w:rsidRDefault="00346692" w:rsidP="005A3846">
      <w:pPr>
        <w:pStyle w:val="a3"/>
        <w:numPr>
          <w:ilvl w:val="0"/>
          <w:numId w:val="37"/>
        </w:numPr>
        <w:spacing w:line="360" w:lineRule="auto"/>
        <w:ind w:leftChars="0"/>
        <w:jc w:val="both"/>
        <w:rPr>
          <w:rFonts w:ascii="Times New Roman" w:hAnsi="Times New Roman" w:cs="Times New Roman"/>
          <w:bCs/>
        </w:rPr>
      </w:pPr>
      <w:r w:rsidRPr="00D458EF">
        <w:rPr>
          <w:rFonts w:ascii="Times New Roman" w:hAnsi="Times New Roman" w:cs="Times New Roman"/>
          <w:bCs/>
        </w:rPr>
        <w:t xml:space="preserve">Flood damage of renters and </w:t>
      </w:r>
      <w:r w:rsidR="001C4A29" w:rsidRPr="00D458EF">
        <w:rPr>
          <w:rFonts w:ascii="Times New Roman" w:hAnsi="Times New Roman" w:cs="Times New Roman"/>
          <w:bCs/>
        </w:rPr>
        <w:t>owners</w:t>
      </w:r>
      <w:r w:rsidRPr="00D458EF">
        <w:rPr>
          <w:rFonts w:ascii="Times New Roman" w:hAnsi="Times New Roman" w:cs="Times New Roman"/>
          <w:bCs/>
        </w:rPr>
        <w:t xml:space="preserve"> per household</w:t>
      </w:r>
    </w:p>
    <w:p w14:paraId="2D10F774" w14:textId="3E035210" w:rsidR="0004093B" w:rsidRPr="00D458EF" w:rsidRDefault="00F65015" w:rsidP="005A3846">
      <w:pPr>
        <w:pStyle w:val="a3"/>
        <w:spacing w:line="360" w:lineRule="auto"/>
        <w:ind w:leftChars="0" w:left="1440"/>
        <w:jc w:val="both"/>
        <w:rPr>
          <w:rFonts w:ascii="Times New Roman" w:hAnsi="Times New Roman" w:cs="Times New Roman"/>
          <w:bCs/>
        </w:rPr>
      </w:pPr>
      <w:r w:rsidRPr="00D458EF">
        <w:rPr>
          <w:rFonts w:ascii="Times New Roman" w:hAnsi="Times New Roman" w:cs="Times New Roman"/>
          <w:bCs/>
        </w:rPr>
        <w:tab/>
      </w:r>
      <w:r w:rsidR="00BF1FF0" w:rsidRPr="00D458EF">
        <w:rPr>
          <w:rFonts w:ascii="Times New Roman" w:hAnsi="Times New Roman" w:cs="Times New Roman"/>
        </w:rPr>
        <w:t>Flood impacts exhibit pronounced differences between homeowners and renters under adaptive conditions. Flood damage accumulates very differently for the two tenure groups over time</w:t>
      </w:r>
      <w:r w:rsidR="006C0C6D" w:rsidRPr="00D458EF">
        <w:rPr>
          <w:rFonts w:ascii="Times New Roman" w:hAnsi="Times New Roman" w:cs="Times New Roman"/>
        </w:rPr>
        <w:t xml:space="preserve"> (</w:t>
      </w:r>
      <w:r w:rsidR="006C0C6D" w:rsidRPr="006C0C6D">
        <w:rPr>
          <w:rFonts w:ascii="Times New Roman" w:hAnsi="Times New Roman" w:cs="Times New Roman"/>
          <w:b/>
          <w:bCs/>
        </w:rPr>
        <w:t xml:space="preserve">Figure </w:t>
      </w:r>
      <w:r w:rsidR="006C0C6D" w:rsidRPr="006C0C6D">
        <w:rPr>
          <w:rFonts w:ascii="Times New Roman" w:hAnsi="Times New Roman" w:cs="Times New Roman" w:hint="eastAsia"/>
          <w:b/>
          <w:bCs/>
        </w:rPr>
        <w:t>8</w:t>
      </w:r>
      <w:r w:rsidR="006C0C6D" w:rsidRPr="00D458EF">
        <w:rPr>
          <w:rFonts w:ascii="Times New Roman" w:hAnsi="Times New Roman" w:cs="Times New Roman"/>
        </w:rPr>
        <w:t>)</w:t>
      </w:r>
      <w:r w:rsidR="00BF1FF0" w:rsidRPr="00D458EF">
        <w:rPr>
          <w:rFonts w:ascii="Times New Roman" w:hAnsi="Times New Roman" w:cs="Times New Roman"/>
        </w:rPr>
        <w:t>. Homeowners experience consistently high per-household flood damage throughout the simulation period, with severe flood years producing pronounced damage peaks that dominate cumulative losses. Even outside these events, average homeowner flood damage remains elevated, indicating sustained exposure across the hazard sequence. Renters, by contrast, follow a markedly different trajectory: average flood damage per household declines progressively over time, and damage levels during later severe flood years (e.g., 2021–2023) remain lower than those observed earlier in the simulation. Consequently, the disparity in flood damage between homeowners and renters widens over time, despite both groups being exposed to identical flood hazards.</w:t>
      </w:r>
    </w:p>
    <w:p w14:paraId="30167D20" w14:textId="77777777" w:rsidR="00872FDE" w:rsidRPr="00D458EF" w:rsidRDefault="00872FDE" w:rsidP="005A3846">
      <w:pPr>
        <w:pStyle w:val="a3"/>
        <w:spacing w:line="360" w:lineRule="auto"/>
        <w:ind w:leftChars="0" w:left="1440"/>
        <w:jc w:val="both"/>
        <w:rPr>
          <w:rFonts w:ascii="Times New Roman" w:hAnsi="Times New Roman" w:cs="Times New Roman"/>
          <w:bCs/>
        </w:rPr>
      </w:pPr>
    </w:p>
    <w:p w14:paraId="44298B86" w14:textId="5D157C48" w:rsidR="0067078F" w:rsidRPr="00D458EF" w:rsidRDefault="00346692" w:rsidP="005A3846">
      <w:pPr>
        <w:pStyle w:val="a3"/>
        <w:numPr>
          <w:ilvl w:val="0"/>
          <w:numId w:val="37"/>
        </w:numPr>
        <w:spacing w:line="360" w:lineRule="auto"/>
        <w:ind w:leftChars="0"/>
        <w:jc w:val="both"/>
        <w:rPr>
          <w:rFonts w:ascii="Times New Roman" w:hAnsi="Times New Roman" w:cs="Times New Roman"/>
          <w:bCs/>
        </w:rPr>
      </w:pPr>
      <w:r w:rsidRPr="00D458EF">
        <w:rPr>
          <w:rFonts w:ascii="Times New Roman" w:hAnsi="Times New Roman" w:cs="Times New Roman"/>
          <w:bCs/>
        </w:rPr>
        <w:t>Payout and financial cost (OOP + premium) of renters and homeowners</w:t>
      </w:r>
    </w:p>
    <w:p w14:paraId="718355C6" w14:textId="3C8E6FE7" w:rsidR="00C95B9B" w:rsidRPr="00D458EF" w:rsidRDefault="0067078F" w:rsidP="005A3846">
      <w:pPr>
        <w:pStyle w:val="a3"/>
        <w:spacing w:line="360" w:lineRule="auto"/>
        <w:ind w:leftChars="644" w:left="1417"/>
        <w:jc w:val="both"/>
        <w:rPr>
          <w:rFonts w:ascii="Times New Roman" w:hAnsi="Times New Roman" w:cs="Times New Roman"/>
        </w:rPr>
      </w:pPr>
      <w:r w:rsidRPr="00D458EF">
        <w:rPr>
          <w:rFonts w:ascii="Times New Roman" w:hAnsi="Times New Roman" w:cs="Times New Roman"/>
          <w:bCs/>
          <w:lang w:val="en-US"/>
        </w:rPr>
        <w:tab/>
      </w:r>
      <w:r w:rsidRPr="00D458EF">
        <w:rPr>
          <w:rFonts w:ascii="Times New Roman" w:hAnsi="Times New Roman" w:cs="Times New Roman"/>
          <w:bCs/>
          <w:lang w:val="en-US"/>
        </w:rPr>
        <w:tab/>
      </w:r>
      <w:r w:rsidR="003B7A0B" w:rsidRPr="00D458EF">
        <w:rPr>
          <w:rFonts w:ascii="Times New Roman" w:hAnsi="Times New Roman" w:cs="Times New Roman"/>
        </w:rPr>
        <w:t xml:space="preserve">Differences in flood damage between homeowners and renters are reflected in contrasting financial burdens. </w:t>
      </w:r>
      <w:r w:rsidR="00055824" w:rsidRPr="00055824">
        <w:rPr>
          <w:rFonts w:ascii="Times New Roman" w:hAnsi="Times New Roman" w:cs="Times New Roman"/>
        </w:rPr>
        <w:t>Here, t</w:t>
      </w:r>
      <w:r w:rsidR="00055824" w:rsidRPr="008E5943">
        <w:rPr>
          <w:rFonts w:ascii="Times New Roman" w:hAnsi="Times New Roman" w:cs="Times New Roman"/>
        </w:rPr>
        <w:t xml:space="preserve">he insurance payout rate denotes the share of flood </w:t>
      </w:r>
      <w:r w:rsidR="00055824" w:rsidRPr="008E5943">
        <w:rPr>
          <w:rFonts w:ascii="Times New Roman" w:hAnsi="Times New Roman" w:cs="Times New Roman"/>
        </w:rPr>
        <w:lastRenderedPageBreak/>
        <w:t>damage covered by insurance, whereas the OOP rate denotes the share borne directly by households.</w:t>
      </w:r>
      <w:r w:rsidR="00655DF7">
        <w:rPr>
          <w:rFonts w:ascii="Times New Roman" w:hAnsi="Times New Roman" w:cs="Times New Roman" w:hint="eastAsia"/>
        </w:rPr>
        <w:t xml:space="preserve"> </w:t>
      </w:r>
      <w:r w:rsidR="00055824" w:rsidRPr="00055824">
        <w:rPr>
          <w:rFonts w:ascii="Times New Roman" w:hAnsi="Times New Roman" w:cs="Times New Roman"/>
        </w:rPr>
        <w:t>When accounting for premiums and OOP expenses, homeowners consistently face substantially higher financial costs than renters</w:t>
      </w:r>
      <w:r w:rsidR="003B7A0B" w:rsidRPr="00D458EF">
        <w:rPr>
          <w:rFonts w:ascii="Times New Roman" w:hAnsi="Times New Roman" w:cs="Times New Roman"/>
        </w:rPr>
        <w:t>. The OOP share of total flood damage for homeowners remains relatively stable in lower-damage years but increases sharply during severe flood years, indicating persistent financial exposure under high-risk conditions (</w:t>
      </w:r>
      <w:r w:rsidR="003B7A0B" w:rsidRPr="006C0C6D">
        <w:rPr>
          <w:rFonts w:ascii="Times New Roman" w:hAnsi="Times New Roman" w:cs="Times New Roman"/>
          <w:b/>
          <w:bCs/>
        </w:rPr>
        <w:t xml:space="preserve">Figure </w:t>
      </w:r>
      <w:r w:rsidR="0089069B" w:rsidRPr="006C0C6D">
        <w:rPr>
          <w:rFonts w:ascii="Times New Roman" w:hAnsi="Times New Roman" w:cs="Times New Roman" w:hint="eastAsia"/>
          <w:b/>
          <w:bCs/>
        </w:rPr>
        <w:t>9</w:t>
      </w:r>
      <w:r w:rsidR="003B7A0B" w:rsidRPr="00D458EF">
        <w:rPr>
          <w:rFonts w:ascii="Times New Roman" w:hAnsi="Times New Roman" w:cs="Times New Roman"/>
        </w:rPr>
        <w:t>).</w:t>
      </w:r>
      <w:r w:rsidR="00DA4942" w:rsidRPr="00D458EF">
        <w:rPr>
          <w:rFonts w:ascii="Times New Roman" w:hAnsi="Times New Roman" w:cs="Times New Roman"/>
        </w:rPr>
        <w:t xml:space="preserve"> In contrast, renters incur markedly lower financial costs overall, with both absolute OOP amounts and OOP shares remaining comparatively small and generally declining over time. Insurance payouts provide substantial coverage for both tenure groups, with payout rates averaging around 70% across most years and remaining relatively stable over time, despite clear differences in underlying flood damage magnitudes (</w:t>
      </w:r>
      <w:r w:rsidR="00DA4942" w:rsidRPr="006C0C6D">
        <w:rPr>
          <w:rFonts w:ascii="Times New Roman" w:hAnsi="Times New Roman" w:cs="Times New Roman"/>
          <w:b/>
          <w:bCs/>
        </w:rPr>
        <w:t xml:space="preserve">Figure </w:t>
      </w:r>
      <w:r w:rsidR="003F1B3F" w:rsidRPr="006C0C6D">
        <w:rPr>
          <w:rFonts w:ascii="Times New Roman" w:hAnsi="Times New Roman" w:cs="Times New Roman" w:hint="eastAsia"/>
          <w:b/>
          <w:bCs/>
        </w:rPr>
        <w:t>10</w:t>
      </w:r>
      <w:r w:rsidR="00DA4942" w:rsidRPr="00D458EF">
        <w:rPr>
          <w:rFonts w:ascii="Times New Roman" w:hAnsi="Times New Roman" w:cs="Times New Roman"/>
        </w:rPr>
        <w:t>).</w:t>
      </w:r>
    </w:p>
    <w:p w14:paraId="299BBA6B" w14:textId="77777777" w:rsidR="00DA4942" w:rsidRPr="00D458EF" w:rsidRDefault="00DA4942" w:rsidP="005A3846">
      <w:pPr>
        <w:pStyle w:val="a3"/>
        <w:spacing w:line="360" w:lineRule="auto"/>
        <w:ind w:leftChars="644" w:left="1417"/>
        <w:jc w:val="both"/>
        <w:rPr>
          <w:rFonts w:ascii="Times New Roman" w:hAnsi="Times New Roman" w:cs="Times New Roman"/>
          <w:bCs/>
          <w:lang w:val="en-US"/>
        </w:rPr>
      </w:pPr>
    </w:p>
    <w:p w14:paraId="6BB55C8C" w14:textId="66F1A1CD" w:rsidR="00346692" w:rsidRPr="00D458EF" w:rsidRDefault="00346692" w:rsidP="005A3846">
      <w:pPr>
        <w:pStyle w:val="a3"/>
        <w:numPr>
          <w:ilvl w:val="0"/>
          <w:numId w:val="37"/>
        </w:numPr>
        <w:spacing w:line="360" w:lineRule="auto"/>
        <w:ind w:leftChars="0"/>
        <w:jc w:val="both"/>
        <w:rPr>
          <w:rFonts w:ascii="Times New Roman" w:hAnsi="Times New Roman" w:cs="Times New Roman"/>
          <w:bCs/>
        </w:rPr>
      </w:pPr>
      <w:r w:rsidRPr="00D458EF">
        <w:rPr>
          <w:rFonts w:ascii="Times New Roman" w:hAnsi="Times New Roman" w:cs="Times New Roman"/>
          <w:bCs/>
        </w:rPr>
        <w:t>Loss attribution of renters and homeowners</w:t>
      </w:r>
    </w:p>
    <w:p w14:paraId="5F57F7BD" w14:textId="768F2E3A" w:rsidR="0088126D" w:rsidRPr="00D458EF" w:rsidRDefault="0088126D" w:rsidP="005A3846">
      <w:pPr>
        <w:pStyle w:val="a3"/>
        <w:spacing w:line="360" w:lineRule="auto"/>
        <w:ind w:leftChars="644" w:left="1417"/>
        <w:jc w:val="both"/>
        <w:rPr>
          <w:rFonts w:ascii="Times New Roman" w:hAnsi="Times New Roman" w:cs="Times New Roman"/>
          <w:bCs/>
          <w:lang w:val="en-US"/>
        </w:rPr>
      </w:pPr>
      <w:r w:rsidRPr="00D458EF">
        <w:rPr>
          <w:rFonts w:ascii="Times New Roman" w:hAnsi="Times New Roman" w:cs="Times New Roman"/>
          <w:b/>
          <w:bCs/>
          <w:lang w:val="en-US"/>
        </w:rPr>
        <w:tab/>
      </w:r>
      <w:r w:rsidRPr="00D458EF">
        <w:rPr>
          <w:rFonts w:ascii="Times New Roman" w:hAnsi="Times New Roman" w:cs="Times New Roman"/>
          <w:b/>
          <w:bCs/>
          <w:lang w:val="en-US"/>
        </w:rPr>
        <w:tab/>
      </w:r>
      <w:r w:rsidR="00DA4942" w:rsidRPr="00D458EF">
        <w:rPr>
          <w:rFonts w:ascii="Times New Roman" w:hAnsi="Times New Roman" w:cs="Times New Roman"/>
        </w:rPr>
        <w:t>The composition of flood losses reveals distinct patterns in how financial impacts are distributed between homeowners and renters. For homeowners, insurance-covered losses constitute the dominant share of total flood damage in most years; however, uninsured losses and losses exceeding policy limits persist and become more prominent during severe flood years. Renters exhibit a structurally different loss attribution profile. A larger share of renter flood losses remains uninsured across most years, and the uninsured share increases sharply in specific years, most notably in 2021, despite relatively low absolute flood damage. This contrast highlights that shifts in uninsured proportions are not necessarily associated with higher damage severity (</w:t>
      </w:r>
      <w:r w:rsidR="00DA4942" w:rsidRPr="006C0C6D">
        <w:rPr>
          <w:rFonts w:ascii="Times New Roman" w:hAnsi="Times New Roman" w:cs="Times New Roman"/>
          <w:b/>
          <w:bCs/>
        </w:rPr>
        <w:t xml:space="preserve">Figure </w:t>
      </w:r>
      <w:r w:rsidR="00BE44F7" w:rsidRPr="006C0C6D">
        <w:rPr>
          <w:rFonts w:ascii="Times New Roman" w:hAnsi="Times New Roman" w:cs="Times New Roman"/>
          <w:b/>
          <w:bCs/>
        </w:rPr>
        <w:t>1</w:t>
      </w:r>
      <w:r w:rsidR="003F1B3F" w:rsidRPr="006C0C6D">
        <w:rPr>
          <w:rFonts w:ascii="Times New Roman" w:hAnsi="Times New Roman" w:cs="Times New Roman" w:hint="eastAsia"/>
          <w:b/>
          <w:bCs/>
        </w:rPr>
        <w:t>1</w:t>
      </w:r>
      <w:r w:rsidR="00DA4942" w:rsidRPr="00D458EF">
        <w:rPr>
          <w:rFonts w:ascii="Times New Roman" w:hAnsi="Times New Roman" w:cs="Times New Roman"/>
        </w:rPr>
        <w:t>).</w:t>
      </w:r>
    </w:p>
    <w:p w14:paraId="6BB057F2" w14:textId="4CC7FFED" w:rsidR="0067078F" w:rsidRPr="00D458EF" w:rsidRDefault="0067078F" w:rsidP="005A3846">
      <w:pPr>
        <w:pStyle w:val="a3"/>
        <w:spacing w:line="360" w:lineRule="auto"/>
        <w:ind w:leftChars="0" w:left="1440"/>
        <w:jc w:val="both"/>
        <w:rPr>
          <w:rFonts w:ascii="Times New Roman" w:hAnsi="Times New Roman" w:cs="Times New Roman"/>
          <w:bCs/>
        </w:rPr>
      </w:pPr>
    </w:p>
    <w:p w14:paraId="7DEADA6B" w14:textId="77777777" w:rsidR="0088126D" w:rsidRPr="00D458EF" w:rsidRDefault="0088126D" w:rsidP="005A3846">
      <w:pPr>
        <w:pStyle w:val="a3"/>
        <w:spacing w:line="360" w:lineRule="auto"/>
        <w:ind w:leftChars="0" w:left="1440"/>
        <w:jc w:val="both"/>
        <w:rPr>
          <w:rFonts w:ascii="Times New Roman" w:hAnsi="Times New Roman" w:cs="Times New Roman"/>
          <w:bCs/>
        </w:rPr>
      </w:pPr>
    </w:p>
    <w:p w14:paraId="086BE3AA" w14:textId="77777777" w:rsidR="005757BC" w:rsidRPr="00D458EF" w:rsidRDefault="005757BC" w:rsidP="005A3846">
      <w:pPr>
        <w:pStyle w:val="a3"/>
        <w:spacing w:line="360" w:lineRule="auto"/>
        <w:ind w:leftChars="0" w:left="1440"/>
        <w:jc w:val="both"/>
        <w:rPr>
          <w:rFonts w:ascii="Times New Roman" w:hAnsi="Times New Roman" w:cs="Times New Roman"/>
          <w:bCs/>
        </w:rPr>
      </w:pPr>
    </w:p>
    <w:p w14:paraId="5A046D0C" w14:textId="64C7094E" w:rsidR="005757BC" w:rsidRDefault="00B42DBD" w:rsidP="005A3846">
      <w:pPr>
        <w:pStyle w:val="a3"/>
        <w:spacing w:line="360" w:lineRule="auto"/>
        <w:ind w:leftChars="0" w:left="0"/>
        <w:jc w:val="both"/>
        <w:rPr>
          <w:rFonts w:ascii="Times New Roman" w:hAnsi="Times New Roman" w:cs="Times New Roman"/>
          <w:bCs/>
        </w:rPr>
      </w:pPr>
      <w:r>
        <w:rPr>
          <w:rFonts w:ascii="Times New Roman" w:hAnsi="Times New Roman" w:cs="Times New Roman"/>
          <w:bCs/>
          <w:noProof/>
        </w:rPr>
        <w:lastRenderedPageBreak/>
        <w:drawing>
          <wp:inline distT="0" distB="0" distL="0" distR="0" wp14:anchorId="58105A9E" wp14:editId="626B9C44">
            <wp:extent cx="5931535" cy="3729355"/>
            <wp:effectExtent l="0" t="0" r="0" b="4445"/>
            <wp:docPr id="1443175582"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1535" cy="3729355"/>
                    </a:xfrm>
                    <a:prstGeom prst="rect">
                      <a:avLst/>
                    </a:prstGeom>
                    <a:noFill/>
                    <a:ln>
                      <a:noFill/>
                    </a:ln>
                  </pic:spPr>
                </pic:pic>
              </a:graphicData>
            </a:graphic>
          </wp:inline>
        </w:drawing>
      </w:r>
    </w:p>
    <w:p w14:paraId="2DBC2822" w14:textId="1146919C" w:rsidR="00D332FE" w:rsidRPr="00D458EF" w:rsidRDefault="00D332FE" w:rsidP="005A3846">
      <w:pPr>
        <w:pStyle w:val="a3"/>
        <w:spacing w:line="360" w:lineRule="auto"/>
        <w:ind w:leftChars="0" w:left="0"/>
        <w:jc w:val="both"/>
        <w:rPr>
          <w:rFonts w:ascii="Times New Roman" w:hAnsi="Times New Roman" w:cs="Times New Roman"/>
          <w:bCs/>
        </w:rPr>
      </w:pPr>
      <w:r w:rsidRPr="00D332FE">
        <w:rPr>
          <w:rFonts w:ascii="Times New Roman" w:hAnsi="Times New Roman" w:cs="Times New Roman"/>
          <w:b/>
          <w:bCs/>
        </w:rPr>
        <w:t xml:space="preserve">Figure </w:t>
      </w:r>
      <w:r>
        <w:rPr>
          <w:rFonts w:ascii="Times New Roman" w:hAnsi="Times New Roman" w:cs="Times New Roman" w:hint="eastAsia"/>
          <w:b/>
          <w:bCs/>
        </w:rPr>
        <w:t>8</w:t>
      </w:r>
      <w:r w:rsidRPr="00D332FE">
        <w:rPr>
          <w:rFonts w:ascii="Times New Roman" w:hAnsi="Times New Roman" w:cs="Times New Roman"/>
          <w:b/>
          <w:bCs/>
        </w:rPr>
        <w:t>.</w:t>
      </w:r>
      <w:r w:rsidRPr="00D332FE">
        <w:rPr>
          <w:rFonts w:ascii="Times New Roman" w:hAnsi="Times New Roman" w:cs="Times New Roman"/>
          <w:bCs/>
        </w:rPr>
        <w:t xml:space="preserve"> Annual average flood damage per </w:t>
      </w:r>
      <w:r w:rsidR="008A798C">
        <w:rPr>
          <w:rFonts w:ascii="Times New Roman" w:hAnsi="Times New Roman" w:cs="Times New Roman" w:hint="eastAsia"/>
          <w:bCs/>
        </w:rPr>
        <w:t>HH</w:t>
      </w:r>
      <w:r w:rsidR="008A798C" w:rsidRPr="00555DF2">
        <w:rPr>
          <w:rFonts w:ascii="Times New Roman" w:hAnsi="Times New Roman" w:cs="Times New Roman" w:hint="eastAsia"/>
        </w:rPr>
        <w:t>.</w:t>
      </w:r>
      <w:r w:rsidR="008A798C">
        <w:rPr>
          <w:rFonts w:ascii="Times New Roman" w:hAnsi="Times New Roman" w:cs="Times New Roman" w:hint="eastAsia"/>
        </w:rPr>
        <w:t xml:space="preserve"> </w:t>
      </w:r>
      <w:r w:rsidRPr="00D332FE">
        <w:rPr>
          <w:rFonts w:ascii="Times New Roman" w:hAnsi="Times New Roman" w:cs="Times New Roman"/>
          <w:bCs/>
        </w:rPr>
        <w:t xml:space="preserve">for </w:t>
      </w:r>
      <w:r w:rsidR="000C6F9F">
        <w:rPr>
          <w:rFonts w:ascii="Times New Roman" w:hAnsi="Times New Roman" w:cs="Times New Roman" w:hint="eastAsia"/>
          <w:bCs/>
        </w:rPr>
        <w:t xml:space="preserve">(a) </w:t>
      </w:r>
      <w:r w:rsidRPr="00D332FE">
        <w:rPr>
          <w:rFonts w:ascii="Times New Roman" w:hAnsi="Times New Roman" w:cs="Times New Roman"/>
          <w:bCs/>
        </w:rPr>
        <w:t xml:space="preserve">homeowners and </w:t>
      </w:r>
      <w:r w:rsidR="000C6F9F">
        <w:rPr>
          <w:rFonts w:ascii="Times New Roman" w:hAnsi="Times New Roman" w:cs="Times New Roman" w:hint="eastAsia"/>
          <w:bCs/>
        </w:rPr>
        <w:t xml:space="preserve">(b) </w:t>
      </w:r>
      <w:r w:rsidRPr="00D332FE">
        <w:rPr>
          <w:rFonts w:ascii="Times New Roman" w:hAnsi="Times New Roman" w:cs="Times New Roman"/>
          <w:bCs/>
        </w:rPr>
        <w:t>renters from 2011 to 2023. Shaded bands indicate severe flood years.</w:t>
      </w:r>
    </w:p>
    <w:p w14:paraId="32B6CE80" w14:textId="7C3BC79D" w:rsidR="00BC3B85" w:rsidRDefault="00D84181" w:rsidP="005A3846">
      <w:pPr>
        <w:pStyle w:val="a3"/>
        <w:spacing w:line="360" w:lineRule="auto"/>
        <w:ind w:leftChars="0" w:left="0"/>
        <w:jc w:val="both"/>
        <w:rPr>
          <w:rFonts w:ascii="Times New Roman" w:hAnsi="Times New Roman" w:cs="Times New Roman"/>
          <w:bCs/>
        </w:rPr>
      </w:pPr>
      <w:r>
        <w:rPr>
          <w:rFonts w:ascii="Times New Roman" w:hAnsi="Times New Roman" w:cs="Times New Roman"/>
          <w:bCs/>
          <w:noProof/>
        </w:rPr>
        <w:drawing>
          <wp:inline distT="0" distB="0" distL="0" distR="0" wp14:anchorId="59196C75" wp14:editId="3998F00B">
            <wp:extent cx="5931535" cy="3729355"/>
            <wp:effectExtent l="0" t="0" r="0" b="4445"/>
            <wp:docPr id="195336086"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1535" cy="3729355"/>
                    </a:xfrm>
                    <a:prstGeom prst="rect">
                      <a:avLst/>
                    </a:prstGeom>
                    <a:noFill/>
                    <a:ln>
                      <a:noFill/>
                    </a:ln>
                  </pic:spPr>
                </pic:pic>
              </a:graphicData>
            </a:graphic>
          </wp:inline>
        </w:drawing>
      </w:r>
    </w:p>
    <w:p w14:paraId="3BE5A84A" w14:textId="0A9266E4" w:rsidR="001C3A06" w:rsidRPr="00D458EF" w:rsidRDefault="000C6F9F" w:rsidP="005A3846">
      <w:pPr>
        <w:pStyle w:val="a3"/>
        <w:spacing w:line="360" w:lineRule="auto"/>
        <w:ind w:leftChars="0" w:left="0"/>
        <w:jc w:val="both"/>
        <w:rPr>
          <w:rFonts w:ascii="Times New Roman" w:hAnsi="Times New Roman" w:cs="Times New Roman"/>
          <w:bCs/>
        </w:rPr>
      </w:pPr>
      <w:r w:rsidRPr="000C6F9F">
        <w:rPr>
          <w:rFonts w:ascii="Times New Roman" w:hAnsi="Times New Roman" w:cs="Times New Roman"/>
          <w:b/>
          <w:bCs/>
        </w:rPr>
        <w:lastRenderedPageBreak/>
        <w:t xml:space="preserve">Figure </w:t>
      </w:r>
      <w:r w:rsidR="00CE4C40">
        <w:rPr>
          <w:rFonts w:ascii="Times New Roman" w:hAnsi="Times New Roman" w:cs="Times New Roman" w:hint="eastAsia"/>
          <w:b/>
          <w:bCs/>
        </w:rPr>
        <w:t>9</w:t>
      </w:r>
      <w:r w:rsidRPr="000C6F9F">
        <w:rPr>
          <w:rFonts w:ascii="Times New Roman" w:hAnsi="Times New Roman" w:cs="Times New Roman"/>
          <w:b/>
          <w:bCs/>
        </w:rPr>
        <w:t>.</w:t>
      </w:r>
      <w:r w:rsidRPr="000C6F9F">
        <w:rPr>
          <w:rFonts w:ascii="Times New Roman" w:hAnsi="Times New Roman" w:cs="Times New Roman"/>
          <w:bCs/>
        </w:rPr>
        <w:t xml:space="preserve"> Annual insurance premiums, </w:t>
      </w:r>
      <w:r>
        <w:rPr>
          <w:rFonts w:ascii="Times New Roman" w:hAnsi="Times New Roman" w:cs="Times New Roman" w:hint="eastAsia"/>
          <w:bCs/>
        </w:rPr>
        <w:t>OOP</w:t>
      </w:r>
      <w:r w:rsidRPr="000C6F9F">
        <w:rPr>
          <w:rFonts w:ascii="Times New Roman" w:hAnsi="Times New Roman" w:cs="Times New Roman"/>
          <w:bCs/>
        </w:rPr>
        <w:t xml:space="preserve"> losses, and OOP rates per</w:t>
      </w:r>
      <w:r w:rsidR="008A798C">
        <w:rPr>
          <w:rFonts w:ascii="Times New Roman" w:hAnsi="Times New Roman" w:cs="Times New Roman" w:hint="eastAsia"/>
          <w:bCs/>
        </w:rPr>
        <w:t xml:space="preserve"> HH</w:t>
      </w:r>
      <w:r w:rsidRPr="000C6F9F">
        <w:rPr>
          <w:rFonts w:ascii="Times New Roman" w:hAnsi="Times New Roman" w:cs="Times New Roman"/>
          <w:bCs/>
        </w:rPr>
        <w:t xml:space="preserve"> for </w:t>
      </w:r>
      <w:r w:rsidR="000D11AB">
        <w:rPr>
          <w:rFonts w:ascii="Times New Roman" w:hAnsi="Times New Roman" w:cs="Times New Roman" w:hint="eastAsia"/>
          <w:bCs/>
        </w:rPr>
        <w:t xml:space="preserve">(a) </w:t>
      </w:r>
      <w:r w:rsidRPr="000C6F9F">
        <w:rPr>
          <w:rFonts w:ascii="Times New Roman" w:hAnsi="Times New Roman" w:cs="Times New Roman"/>
          <w:bCs/>
        </w:rPr>
        <w:t xml:space="preserve">homeowners and </w:t>
      </w:r>
      <w:r w:rsidR="000D11AB">
        <w:rPr>
          <w:rFonts w:ascii="Times New Roman" w:hAnsi="Times New Roman" w:cs="Times New Roman" w:hint="eastAsia"/>
          <w:bCs/>
        </w:rPr>
        <w:t xml:space="preserve">(b) </w:t>
      </w:r>
      <w:r w:rsidRPr="000C6F9F">
        <w:rPr>
          <w:rFonts w:ascii="Times New Roman" w:hAnsi="Times New Roman" w:cs="Times New Roman"/>
          <w:bCs/>
        </w:rPr>
        <w:t xml:space="preserve">renters. </w:t>
      </w:r>
    </w:p>
    <w:p w14:paraId="1868A17E" w14:textId="586D9C3A" w:rsidR="00654F91" w:rsidRDefault="00BA4151" w:rsidP="005A3846">
      <w:pPr>
        <w:pStyle w:val="a3"/>
        <w:spacing w:line="360" w:lineRule="auto"/>
        <w:ind w:leftChars="0" w:left="0"/>
        <w:jc w:val="both"/>
        <w:rPr>
          <w:rFonts w:ascii="Times New Roman" w:hAnsi="Times New Roman" w:cs="Times New Roman"/>
          <w:bCs/>
        </w:rPr>
      </w:pPr>
      <w:r>
        <w:rPr>
          <w:rFonts w:ascii="Times New Roman" w:hAnsi="Times New Roman" w:cs="Times New Roman"/>
          <w:bCs/>
          <w:noProof/>
        </w:rPr>
        <w:drawing>
          <wp:inline distT="0" distB="0" distL="0" distR="0" wp14:anchorId="60A0BC39" wp14:editId="7CFAFA8F">
            <wp:extent cx="5931535" cy="3729355"/>
            <wp:effectExtent l="0" t="0" r="0" b="4445"/>
            <wp:docPr id="85071280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1535" cy="3729355"/>
                    </a:xfrm>
                    <a:prstGeom prst="rect">
                      <a:avLst/>
                    </a:prstGeom>
                    <a:noFill/>
                    <a:ln>
                      <a:noFill/>
                    </a:ln>
                  </pic:spPr>
                </pic:pic>
              </a:graphicData>
            </a:graphic>
          </wp:inline>
        </w:drawing>
      </w:r>
    </w:p>
    <w:p w14:paraId="463DE522" w14:textId="187357F4" w:rsidR="0040041B" w:rsidRPr="00D458EF" w:rsidRDefault="0040041B" w:rsidP="005A3846">
      <w:pPr>
        <w:pStyle w:val="a3"/>
        <w:spacing w:line="360" w:lineRule="auto"/>
        <w:ind w:leftChars="0" w:left="0"/>
        <w:jc w:val="both"/>
        <w:rPr>
          <w:rFonts w:ascii="Times New Roman" w:hAnsi="Times New Roman" w:cs="Times New Roman"/>
          <w:bCs/>
        </w:rPr>
      </w:pPr>
      <w:r w:rsidRPr="000C6F9F">
        <w:rPr>
          <w:rFonts w:ascii="Times New Roman" w:hAnsi="Times New Roman" w:cs="Times New Roman"/>
          <w:b/>
          <w:bCs/>
        </w:rPr>
        <w:t xml:space="preserve">Figure </w:t>
      </w:r>
      <w:r w:rsidR="003F1B3F">
        <w:rPr>
          <w:rFonts w:ascii="Times New Roman" w:hAnsi="Times New Roman" w:cs="Times New Roman" w:hint="eastAsia"/>
          <w:b/>
          <w:bCs/>
        </w:rPr>
        <w:t>10</w:t>
      </w:r>
      <w:r w:rsidRPr="000C6F9F">
        <w:rPr>
          <w:rFonts w:ascii="Times New Roman" w:hAnsi="Times New Roman" w:cs="Times New Roman"/>
          <w:b/>
          <w:bCs/>
        </w:rPr>
        <w:t>.</w:t>
      </w:r>
      <w:r w:rsidRPr="000C6F9F">
        <w:rPr>
          <w:rFonts w:ascii="Times New Roman" w:hAnsi="Times New Roman" w:cs="Times New Roman"/>
          <w:bCs/>
        </w:rPr>
        <w:t xml:space="preserve"> </w:t>
      </w:r>
      <w:r w:rsidR="00175613" w:rsidRPr="00175613">
        <w:rPr>
          <w:rFonts w:ascii="Times New Roman" w:hAnsi="Times New Roman" w:cs="Times New Roman"/>
          <w:bCs/>
        </w:rPr>
        <w:t xml:space="preserve">Annual insurance payouts and payout rates per </w:t>
      </w:r>
      <w:r w:rsidR="008A798C">
        <w:rPr>
          <w:rFonts w:ascii="Times New Roman" w:hAnsi="Times New Roman" w:cs="Times New Roman" w:hint="eastAsia"/>
          <w:bCs/>
        </w:rPr>
        <w:t>HH</w:t>
      </w:r>
      <w:r w:rsidR="00175613" w:rsidRPr="00175613">
        <w:rPr>
          <w:rFonts w:ascii="Times New Roman" w:hAnsi="Times New Roman" w:cs="Times New Roman"/>
          <w:bCs/>
        </w:rPr>
        <w:t xml:space="preserve"> for </w:t>
      </w:r>
      <w:r w:rsidR="003B1FEA">
        <w:rPr>
          <w:rFonts w:ascii="Times New Roman" w:hAnsi="Times New Roman" w:cs="Times New Roman" w:hint="eastAsia"/>
          <w:bCs/>
        </w:rPr>
        <w:t xml:space="preserve">(a) </w:t>
      </w:r>
      <w:r w:rsidR="00175613" w:rsidRPr="00175613">
        <w:rPr>
          <w:rFonts w:ascii="Times New Roman" w:hAnsi="Times New Roman" w:cs="Times New Roman"/>
          <w:bCs/>
        </w:rPr>
        <w:t xml:space="preserve">homeowners and </w:t>
      </w:r>
      <w:r w:rsidR="003B1FEA">
        <w:rPr>
          <w:rFonts w:ascii="Times New Roman" w:hAnsi="Times New Roman" w:cs="Times New Roman" w:hint="eastAsia"/>
          <w:bCs/>
        </w:rPr>
        <w:t xml:space="preserve">(b) </w:t>
      </w:r>
      <w:r w:rsidR="00175613" w:rsidRPr="00175613">
        <w:rPr>
          <w:rFonts w:ascii="Times New Roman" w:hAnsi="Times New Roman" w:cs="Times New Roman"/>
          <w:bCs/>
        </w:rPr>
        <w:t>renters from 2011 to 2023, with shaded bands indicating severe flood years.</w:t>
      </w:r>
    </w:p>
    <w:p w14:paraId="2C37C578" w14:textId="77777777" w:rsidR="0040041B" w:rsidRPr="0040041B" w:rsidRDefault="0040041B" w:rsidP="005A3846">
      <w:pPr>
        <w:pStyle w:val="a3"/>
        <w:spacing w:line="360" w:lineRule="auto"/>
        <w:ind w:leftChars="0" w:left="0"/>
        <w:jc w:val="both"/>
        <w:rPr>
          <w:rFonts w:ascii="Times New Roman" w:hAnsi="Times New Roman" w:cs="Times New Roman"/>
          <w:bCs/>
        </w:rPr>
      </w:pPr>
    </w:p>
    <w:p w14:paraId="626F9839" w14:textId="77777777" w:rsidR="003F56DE" w:rsidRPr="00D458EF" w:rsidRDefault="003F56DE" w:rsidP="005A3846">
      <w:pPr>
        <w:pStyle w:val="a3"/>
        <w:spacing w:line="360" w:lineRule="auto"/>
        <w:ind w:leftChars="0" w:left="0"/>
        <w:jc w:val="both"/>
        <w:rPr>
          <w:rFonts w:ascii="Times New Roman" w:hAnsi="Times New Roman" w:cs="Times New Roman"/>
          <w:bCs/>
        </w:rPr>
      </w:pPr>
    </w:p>
    <w:p w14:paraId="33F10A8C" w14:textId="633EB6A8" w:rsidR="0003111F" w:rsidRDefault="00BA4151" w:rsidP="005A3846">
      <w:pPr>
        <w:pStyle w:val="a3"/>
        <w:spacing w:line="360" w:lineRule="auto"/>
        <w:ind w:leftChars="0" w:left="0"/>
        <w:jc w:val="both"/>
        <w:rPr>
          <w:rFonts w:ascii="Times New Roman" w:hAnsi="Times New Roman" w:cs="Times New Roman"/>
          <w:bCs/>
        </w:rPr>
      </w:pPr>
      <w:r>
        <w:rPr>
          <w:rFonts w:ascii="Times New Roman" w:hAnsi="Times New Roman" w:cs="Times New Roman"/>
          <w:bCs/>
          <w:noProof/>
        </w:rPr>
        <w:lastRenderedPageBreak/>
        <w:drawing>
          <wp:inline distT="0" distB="0" distL="0" distR="0" wp14:anchorId="7FB422D7" wp14:editId="23513214">
            <wp:extent cx="5931535" cy="3729355"/>
            <wp:effectExtent l="0" t="0" r="0" b="4445"/>
            <wp:docPr id="140825121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1535" cy="3729355"/>
                    </a:xfrm>
                    <a:prstGeom prst="rect">
                      <a:avLst/>
                    </a:prstGeom>
                    <a:noFill/>
                    <a:ln>
                      <a:noFill/>
                    </a:ln>
                  </pic:spPr>
                </pic:pic>
              </a:graphicData>
            </a:graphic>
          </wp:inline>
        </w:drawing>
      </w:r>
    </w:p>
    <w:p w14:paraId="1224B1A4" w14:textId="3B138511" w:rsidR="008304D1" w:rsidRDefault="008304D1" w:rsidP="005A3846">
      <w:pPr>
        <w:pStyle w:val="a3"/>
        <w:spacing w:line="360" w:lineRule="auto"/>
        <w:ind w:leftChars="0" w:left="0"/>
        <w:jc w:val="both"/>
        <w:rPr>
          <w:rFonts w:ascii="Times New Roman" w:hAnsi="Times New Roman" w:cs="Times New Roman"/>
          <w:bCs/>
        </w:rPr>
      </w:pPr>
      <w:r w:rsidRPr="000C6F9F">
        <w:rPr>
          <w:rFonts w:ascii="Times New Roman" w:hAnsi="Times New Roman" w:cs="Times New Roman"/>
          <w:b/>
          <w:bCs/>
        </w:rPr>
        <w:t xml:space="preserve">Figure </w:t>
      </w:r>
      <w:r>
        <w:rPr>
          <w:rFonts w:ascii="Times New Roman" w:hAnsi="Times New Roman" w:cs="Times New Roman" w:hint="eastAsia"/>
          <w:b/>
          <w:bCs/>
        </w:rPr>
        <w:t>11</w:t>
      </w:r>
      <w:r w:rsidRPr="000C6F9F">
        <w:rPr>
          <w:rFonts w:ascii="Times New Roman" w:hAnsi="Times New Roman" w:cs="Times New Roman"/>
          <w:b/>
          <w:bCs/>
        </w:rPr>
        <w:t>.</w:t>
      </w:r>
      <w:r w:rsidRPr="000C6F9F">
        <w:rPr>
          <w:rFonts w:ascii="Times New Roman" w:hAnsi="Times New Roman" w:cs="Times New Roman"/>
          <w:bCs/>
        </w:rPr>
        <w:t xml:space="preserve"> </w:t>
      </w:r>
      <w:r w:rsidR="0066591C" w:rsidRPr="0066591C">
        <w:rPr>
          <w:rFonts w:ascii="Times New Roman" w:hAnsi="Times New Roman" w:cs="Times New Roman"/>
          <w:bCs/>
        </w:rPr>
        <w:t xml:space="preserve">Composition of total flood damage by insurance coverage status for </w:t>
      </w:r>
      <w:r w:rsidR="0066591C">
        <w:rPr>
          <w:rFonts w:ascii="Times New Roman" w:hAnsi="Times New Roman" w:cs="Times New Roman" w:hint="eastAsia"/>
          <w:bCs/>
        </w:rPr>
        <w:t xml:space="preserve">(a) </w:t>
      </w:r>
      <w:r w:rsidR="0066591C" w:rsidRPr="0066591C">
        <w:rPr>
          <w:rFonts w:ascii="Times New Roman" w:hAnsi="Times New Roman" w:cs="Times New Roman"/>
          <w:bCs/>
        </w:rPr>
        <w:t xml:space="preserve">homeowners and </w:t>
      </w:r>
      <w:r w:rsidR="0066591C">
        <w:rPr>
          <w:rFonts w:ascii="Times New Roman" w:hAnsi="Times New Roman" w:cs="Times New Roman" w:hint="eastAsia"/>
          <w:bCs/>
        </w:rPr>
        <w:t xml:space="preserve">(b) </w:t>
      </w:r>
      <w:r w:rsidR="0066591C" w:rsidRPr="0066591C">
        <w:rPr>
          <w:rFonts w:ascii="Times New Roman" w:hAnsi="Times New Roman" w:cs="Times New Roman"/>
          <w:bCs/>
        </w:rPr>
        <w:t>renters over time.</w:t>
      </w:r>
    </w:p>
    <w:p w14:paraId="17D8E43D" w14:textId="77777777" w:rsidR="0066591C" w:rsidRPr="00D458EF" w:rsidRDefault="0066591C" w:rsidP="005A3846">
      <w:pPr>
        <w:pStyle w:val="a3"/>
        <w:spacing w:line="360" w:lineRule="auto"/>
        <w:ind w:leftChars="0" w:left="0"/>
        <w:jc w:val="both"/>
        <w:rPr>
          <w:rFonts w:ascii="Times New Roman" w:hAnsi="Times New Roman" w:cs="Times New Roman"/>
          <w:bCs/>
        </w:rPr>
      </w:pPr>
    </w:p>
    <w:p w14:paraId="2B62E47F" w14:textId="4504FE67" w:rsidR="00F66BD9" w:rsidRPr="00D458EF" w:rsidRDefault="00F66BD9" w:rsidP="005A3846">
      <w:pPr>
        <w:pStyle w:val="a3"/>
        <w:numPr>
          <w:ilvl w:val="0"/>
          <w:numId w:val="21"/>
        </w:numPr>
        <w:spacing w:line="360" w:lineRule="auto"/>
        <w:ind w:leftChars="0" w:left="357" w:hanging="357"/>
        <w:jc w:val="both"/>
        <w:outlineLvl w:val="0"/>
        <w:rPr>
          <w:rFonts w:ascii="Times New Roman" w:hAnsi="Times New Roman" w:cs="Times New Roman"/>
          <w:b/>
        </w:rPr>
      </w:pPr>
      <w:r w:rsidRPr="00D458EF">
        <w:rPr>
          <w:rFonts w:ascii="Times New Roman" w:hAnsi="Times New Roman" w:cs="Times New Roman"/>
          <w:b/>
        </w:rPr>
        <w:t>Discussion</w:t>
      </w:r>
      <w:r w:rsidR="00346692" w:rsidRPr="00D458EF">
        <w:rPr>
          <w:rFonts w:ascii="Times New Roman" w:hAnsi="Times New Roman" w:cs="Times New Roman"/>
          <w:b/>
        </w:rPr>
        <w:t xml:space="preserve"> and Limitation</w:t>
      </w:r>
    </w:p>
    <w:p w14:paraId="35807E59" w14:textId="1B7C7808" w:rsidR="00C334DB" w:rsidRPr="00D458EF" w:rsidRDefault="00C334DB" w:rsidP="005A3846">
      <w:pPr>
        <w:pStyle w:val="a3"/>
        <w:numPr>
          <w:ilvl w:val="0"/>
          <w:numId w:val="38"/>
        </w:numPr>
        <w:spacing w:line="360" w:lineRule="auto"/>
        <w:ind w:leftChars="0" w:left="482" w:hanging="482"/>
        <w:jc w:val="both"/>
        <w:outlineLvl w:val="1"/>
        <w:rPr>
          <w:rFonts w:ascii="Times New Roman" w:hAnsi="Times New Roman" w:cs="Times New Roman"/>
          <w:b/>
        </w:rPr>
      </w:pPr>
      <w:r w:rsidRPr="00D458EF">
        <w:rPr>
          <w:rFonts w:ascii="Times New Roman" w:hAnsi="Times New Roman" w:cs="Times New Roman"/>
          <w:b/>
        </w:rPr>
        <w:t>S</w:t>
      </w:r>
      <w:r w:rsidR="00871281" w:rsidRPr="00D458EF">
        <w:rPr>
          <w:rFonts w:ascii="Times New Roman" w:hAnsi="Times New Roman" w:cs="Times New Roman"/>
          <w:b/>
        </w:rPr>
        <w:t xml:space="preserve">ensitivity of flood damage and financial outcomes to </w:t>
      </w:r>
      <w:proofErr w:type="gramStart"/>
      <w:r w:rsidR="00871281" w:rsidRPr="00D458EF">
        <w:rPr>
          <w:rFonts w:ascii="Times New Roman" w:hAnsi="Times New Roman" w:cs="Times New Roman"/>
          <w:b/>
        </w:rPr>
        <w:t>threat</w:t>
      </w:r>
      <w:proofErr w:type="gramEnd"/>
      <w:r w:rsidR="00871281" w:rsidRPr="00D458EF">
        <w:rPr>
          <w:rFonts w:ascii="Times New Roman" w:hAnsi="Times New Roman" w:cs="Times New Roman"/>
          <w:b/>
        </w:rPr>
        <w:t xml:space="preserve"> perception mechanisms</w:t>
      </w:r>
    </w:p>
    <w:p w14:paraId="0DE9201C" w14:textId="77777777" w:rsidR="00E07355" w:rsidRPr="00D458EF" w:rsidRDefault="00E07355" w:rsidP="005A3846">
      <w:pPr>
        <w:pStyle w:val="a3"/>
        <w:spacing w:line="360" w:lineRule="auto"/>
        <w:ind w:leftChars="0"/>
        <w:jc w:val="both"/>
        <w:rPr>
          <w:rFonts w:ascii="Times New Roman" w:hAnsi="Times New Roman" w:cs="Times New Roman"/>
          <w:b/>
        </w:rPr>
      </w:pPr>
    </w:p>
    <w:p w14:paraId="55498151" w14:textId="397B4545" w:rsidR="00010460" w:rsidRPr="00D458EF" w:rsidRDefault="00606970" w:rsidP="005A3846">
      <w:pPr>
        <w:pStyle w:val="a3"/>
        <w:numPr>
          <w:ilvl w:val="0"/>
          <w:numId w:val="43"/>
        </w:numPr>
        <w:spacing w:line="360" w:lineRule="auto"/>
        <w:ind w:leftChars="0"/>
        <w:jc w:val="both"/>
        <w:rPr>
          <w:rFonts w:ascii="Times New Roman" w:hAnsi="Times New Roman" w:cs="Times New Roman"/>
          <w:bCs/>
        </w:rPr>
      </w:pPr>
      <w:r w:rsidRPr="00D458EF">
        <w:rPr>
          <w:rFonts w:ascii="Times New Roman" w:hAnsi="Times New Roman" w:cs="Times New Roman"/>
          <w:bCs/>
        </w:rPr>
        <w:t xml:space="preserve">Motivation </w:t>
      </w:r>
      <w:r w:rsidR="00DA559F" w:rsidRPr="00D458EF">
        <w:rPr>
          <w:rFonts w:ascii="Times New Roman" w:hAnsi="Times New Roman" w:cs="Times New Roman"/>
          <w:bCs/>
        </w:rPr>
        <w:t>for</w:t>
      </w:r>
      <w:r w:rsidRPr="00D458EF">
        <w:rPr>
          <w:rFonts w:ascii="Times New Roman" w:hAnsi="Times New Roman" w:cs="Times New Roman"/>
          <w:bCs/>
        </w:rPr>
        <w:t xml:space="preserve"> </w:t>
      </w:r>
      <w:r w:rsidR="00D66AC8" w:rsidRPr="00D458EF">
        <w:rPr>
          <w:rFonts w:ascii="Times New Roman" w:hAnsi="Times New Roman" w:cs="Times New Roman"/>
          <w:bCs/>
        </w:rPr>
        <w:t>sen</w:t>
      </w:r>
      <w:r w:rsidR="00DA559F" w:rsidRPr="00D458EF">
        <w:rPr>
          <w:rFonts w:ascii="Times New Roman" w:hAnsi="Times New Roman" w:cs="Times New Roman"/>
          <w:bCs/>
        </w:rPr>
        <w:t>sitivity analysis</w:t>
      </w:r>
    </w:p>
    <w:p w14:paraId="64797156" w14:textId="7DA79A8E" w:rsidR="00E364C0" w:rsidRPr="00D458EF" w:rsidRDefault="00E364C0" w:rsidP="005A3846">
      <w:pPr>
        <w:pStyle w:val="a3"/>
        <w:spacing w:line="360" w:lineRule="auto"/>
        <w:ind w:leftChars="0" w:left="1440"/>
        <w:jc w:val="both"/>
        <w:rPr>
          <w:rFonts w:ascii="Times New Roman" w:hAnsi="Times New Roman" w:cs="Times New Roman"/>
          <w:bCs/>
        </w:rPr>
      </w:pPr>
      <w:r w:rsidRPr="00D458EF">
        <w:rPr>
          <w:rFonts w:ascii="Times New Roman" w:hAnsi="Times New Roman" w:cs="Times New Roman"/>
          <w:bCs/>
        </w:rPr>
        <w:tab/>
      </w:r>
      <w:r w:rsidR="001B67C8" w:rsidRPr="00D458EF">
        <w:rPr>
          <w:rFonts w:ascii="Times New Roman" w:hAnsi="Times New Roman" w:cs="Times New Roman"/>
          <w:bCs/>
        </w:rPr>
        <w:t>Sensitivity analysis is conducted to assess whether the observed behavioral and financial outcomes are robust to alternative specifications of the TP updating mechanism, rather than being artifacts of a particular parameter choice. Two parameters are central to this process: the flood damage ratio and the shock scale. The flood damage ratio determines whether a flood event is salient enough to exceed the threshold required to update TP, thereby governing which events are behaviorally “remembered.” In contrast, the shock scale controls the magnitude of TP change once the threshold is crossed, shaping how strongly households respond to severe floods. Together, these parameters define how physical flood impacts are translated into behavioral responses, making them critical for evaluating the stability of adaptation dynamics under extreme MG/NMG configurations.</w:t>
      </w:r>
    </w:p>
    <w:p w14:paraId="3CEE9164" w14:textId="77777777" w:rsidR="00835424" w:rsidRPr="00D458EF" w:rsidRDefault="00835424" w:rsidP="005A3846">
      <w:pPr>
        <w:pStyle w:val="a3"/>
        <w:spacing w:line="360" w:lineRule="auto"/>
        <w:ind w:leftChars="0" w:left="1440"/>
        <w:jc w:val="both"/>
        <w:rPr>
          <w:rFonts w:ascii="Times New Roman" w:hAnsi="Times New Roman" w:cs="Times New Roman"/>
          <w:bCs/>
        </w:rPr>
      </w:pPr>
    </w:p>
    <w:p w14:paraId="3A401050" w14:textId="7AFE4DD3" w:rsidR="005F0589" w:rsidRPr="00D458EF" w:rsidRDefault="006378F5" w:rsidP="005A3846">
      <w:pPr>
        <w:pStyle w:val="a3"/>
        <w:numPr>
          <w:ilvl w:val="0"/>
          <w:numId w:val="43"/>
        </w:numPr>
        <w:spacing w:line="360" w:lineRule="auto"/>
        <w:ind w:leftChars="0"/>
        <w:jc w:val="both"/>
        <w:rPr>
          <w:rFonts w:ascii="Times New Roman" w:hAnsi="Times New Roman" w:cs="Times New Roman"/>
          <w:bCs/>
        </w:rPr>
      </w:pPr>
      <w:r w:rsidRPr="00D458EF">
        <w:rPr>
          <w:rFonts w:ascii="Times New Roman" w:hAnsi="Times New Roman" w:cs="Times New Roman"/>
          <w:bCs/>
        </w:rPr>
        <w:lastRenderedPageBreak/>
        <w:t>Analysis of f</w:t>
      </w:r>
      <w:r w:rsidR="006B115A" w:rsidRPr="00D458EF">
        <w:rPr>
          <w:rFonts w:ascii="Times New Roman" w:hAnsi="Times New Roman" w:cs="Times New Roman"/>
          <w:bCs/>
        </w:rPr>
        <w:t>lood damage ratio threshold</w:t>
      </w:r>
    </w:p>
    <w:p w14:paraId="39376483" w14:textId="0243F1D0" w:rsidR="005F0589" w:rsidRPr="00D458EF" w:rsidRDefault="000866B8" w:rsidP="005A3846">
      <w:pPr>
        <w:pStyle w:val="a3"/>
        <w:spacing w:line="360" w:lineRule="auto"/>
        <w:ind w:leftChars="0" w:left="1440"/>
        <w:jc w:val="both"/>
        <w:rPr>
          <w:rFonts w:ascii="Times New Roman" w:hAnsi="Times New Roman" w:cs="Times New Roman"/>
          <w:bCs/>
        </w:rPr>
      </w:pPr>
      <w:r w:rsidRPr="00D458EF">
        <w:rPr>
          <w:rFonts w:ascii="Times New Roman" w:hAnsi="Times New Roman" w:cs="Times New Roman"/>
          <w:bCs/>
        </w:rPr>
        <w:tab/>
      </w:r>
      <w:r w:rsidR="004E529F" w:rsidRPr="00D458EF">
        <w:rPr>
          <w:rFonts w:ascii="Times New Roman" w:hAnsi="Times New Roman" w:cs="Times New Roman"/>
          <w:bCs/>
        </w:rPr>
        <w:t>Across extreme MG and NMG configurations, the flood damage ratio determines whether severe flood events activate behavioral responses that alter long-term flood outcomes (</w:t>
      </w:r>
      <w:r w:rsidR="004E529F" w:rsidRPr="006C0C6D">
        <w:rPr>
          <w:rFonts w:ascii="Times New Roman" w:hAnsi="Times New Roman" w:cs="Times New Roman"/>
          <w:b/>
        </w:rPr>
        <w:t>Figure 1</w:t>
      </w:r>
      <w:r w:rsidR="006C0C6D" w:rsidRPr="006C0C6D">
        <w:rPr>
          <w:rFonts w:ascii="Times New Roman" w:hAnsi="Times New Roman" w:cs="Times New Roman" w:hint="eastAsia"/>
          <w:b/>
        </w:rPr>
        <w:t>2</w:t>
      </w:r>
      <w:r w:rsidR="004E529F" w:rsidRPr="00D458EF">
        <w:rPr>
          <w:rFonts w:ascii="Times New Roman" w:hAnsi="Times New Roman" w:cs="Times New Roman"/>
          <w:bCs/>
        </w:rPr>
        <w:t xml:space="preserve">). When TP responses are dominated by NMG, cumulative flood damage per household continues to increase for both owners and renters, alongside rising cumulative insurance payout rates. This pattern suggests that, although perceptual updating occurs, behavioral responses do not substantially modify system-level exposure or vulnerability </w:t>
      </w:r>
      <w:r w:rsidR="00C555D0">
        <w:rPr>
          <w:rFonts w:ascii="Times New Roman" w:hAnsi="Times New Roman" w:cs="Times New Roman"/>
          <w:bCs/>
        </w:rPr>
        <w:t xml:space="preserve">and are </w:t>
      </w:r>
      <w:r w:rsidR="00C555D0">
        <w:rPr>
          <w:rFonts w:ascii="Times New Roman" w:hAnsi="Times New Roman" w:cs="Times New Roman" w:hint="eastAsia"/>
          <w:bCs/>
        </w:rPr>
        <w:t>associated with</w:t>
      </w:r>
      <w:r w:rsidR="004E529F" w:rsidRPr="00D458EF">
        <w:rPr>
          <w:rFonts w:ascii="Times New Roman" w:hAnsi="Times New Roman" w:cs="Times New Roman"/>
          <w:bCs/>
        </w:rPr>
        <w:t xml:space="preserve"> increased financial compensation. In contrast, when TP responses include households whose actions influence aggregate losses, cumulative flood damage declines</w:t>
      </w:r>
      <w:r w:rsidR="00305CDB">
        <w:rPr>
          <w:rFonts w:ascii="Times New Roman" w:hAnsi="Times New Roman" w:cs="Times New Roman"/>
          <w:bCs/>
        </w:rPr>
        <w:t>,</w:t>
      </w:r>
      <w:r w:rsidR="004E529F" w:rsidRPr="00D458EF">
        <w:rPr>
          <w:rFonts w:ascii="Times New Roman" w:hAnsi="Times New Roman" w:cs="Times New Roman"/>
          <w:bCs/>
        </w:rPr>
        <w:t xml:space="preserve"> and payout growth slows or reverses. These extremes indicate that exceeding the flood damage ratio threshold is necessary to trigger responses, but insufficient to ensure risk reduction.</w:t>
      </w:r>
    </w:p>
    <w:p w14:paraId="7BF3534C" w14:textId="3D7CD936" w:rsidR="00BC7004" w:rsidRPr="00D458EF" w:rsidRDefault="00BC7004" w:rsidP="005A3846">
      <w:pPr>
        <w:pStyle w:val="a3"/>
        <w:spacing w:line="360" w:lineRule="auto"/>
        <w:ind w:leftChars="0" w:left="0"/>
        <w:jc w:val="both"/>
        <w:rPr>
          <w:rFonts w:ascii="Times New Roman" w:hAnsi="Times New Roman" w:cs="Times New Roman"/>
          <w:bCs/>
        </w:rPr>
      </w:pPr>
    </w:p>
    <w:p w14:paraId="787821FD" w14:textId="58CBF831" w:rsidR="006B115A" w:rsidRPr="00D458EF" w:rsidRDefault="000F4E41" w:rsidP="005A3846">
      <w:pPr>
        <w:pStyle w:val="a3"/>
        <w:numPr>
          <w:ilvl w:val="0"/>
          <w:numId w:val="43"/>
        </w:numPr>
        <w:spacing w:line="360" w:lineRule="auto"/>
        <w:ind w:leftChars="0"/>
        <w:jc w:val="both"/>
        <w:rPr>
          <w:rFonts w:ascii="Times New Roman" w:hAnsi="Times New Roman" w:cs="Times New Roman"/>
          <w:bCs/>
        </w:rPr>
      </w:pPr>
      <w:r w:rsidRPr="00D458EF">
        <w:rPr>
          <w:rFonts w:ascii="Times New Roman" w:hAnsi="Times New Roman" w:cs="Times New Roman"/>
          <w:bCs/>
        </w:rPr>
        <w:t>Analysis of s</w:t>
      </w:r>
      <w:r w:rsidR="00090031" w:rsidRPr="00D458EF">
        <w:rPr>
          <w:rFonts w:ascii="Times New Roman" w:hAnsi="Times New Roman" w:cs="Times New Roman"/>
          <w:bCs/>
        </w:rPr>
        <w:t>hock scale</w:t>
      </w:r>
    </w:p>
    <w:p w14:paraId="6C8F6CB0" w14:textId="54E8327E" w:rsidR="00010460" w:rsidRPr="00D458EF" w:rsidRDefault="00281372" w:rsidP="005A3846">
      <w:pPr>
        <w:pStyle w:val="a3"/>
        <w:spacing w:line="360" w:lineRule="auto"/>
        <w:ind w:leftChars="0" w:left="1440"/>
        <w:jc w:val="both"/>
        <w:rPr>
          <w:rFonts w:ascii="Times New Roman" w:hAnsi="Times New Roman" w:cs="Times New Roman"/>
          <w:bCs/>
        </w:rPr>
      </w:pPr>
      <w:r w:rsidRPr="00D458EF">
        <w:rPr>
          <w:rFonts w:ascii="Times New Roman" w:hAnsi="Times New Roman" w:cs="Times New Roman"/>
          <w:bCs/>
        </w:rPr>
        <w:tab/>
      </w:r>
      <w:r w:rsidR="00535F98" w:rsidRPr="00D458EF">
        <w:rPr>
          <w:rFonts w:ascii="Times New Roman" w:hAnsi="Times New Roman" w:cs="Times New Roman"/>
          <w:bCs/>
        </w:rPr>
        <w:t>Sensitivity to the shock scale shows that increasing TP intensity amplifies existing response patterns relative to the conservative baseline (</w:t>
      </w:r>
      <w:r w:rsidR="00535F98" w:rsidRPr="006C0C6D">
        <w:rPr>
          <w:rFonts w:ascii="Times New Roman" w:hAnsi="Times New Roman" w:cs="Times New Roman"/>
          <w:b/>
        </w:rPr>
        <w:t>Figure 1</w:t>
      </w:r>
      <w:r w:rsidR="006C0C6D" w:rsidRPr="006C0C6D">
        <w:rPr>
          <w:rFonts w:ascii="Times New Roman" w:hAnsi="Times New Roman" w:cs="Times New Roman" w:hint="eastAsia"/>
          <w:b/>
        </w:rPr>
        <w:t>3</w:t>
      </w:r>
      <w:r w:rsidR="00535F98" w:rsidRPr="00D458EF">
        <w:rPr>
          <w:rFonts w:ascii="Times New Roman" w:hAnsi="Times New Roman" w:cs="Times New Roman"/>
          <w:bCs/>
        </w:rPr>
        <w:t>). Under configurations where TP responses are dominated by NMG, larger shock scales mainly accelerate growth in cumulative insurance payouts while flood damage continues to rise. When responses also occur among households whose actions affect aggregate losses, higher shock scales accelerate declines in cumulative flood damage with more moderate payout growth. These results indicate that the shock scale acts as an amplifier of existing response distributions, reinforcing either compensation-driven or risk-reducing outcomes depending on where behavioral change is concentrated.</w:t>
      </w:r>
    </w:p>
    <w:p w14:paraId="18E3D678" w14:textId="77777777" w:rsidR="00830949" w:rsidRPr="00D458EF" w:rsidRDefault="00830949" w:rsidP="005A3846">
      <w:pPr>
        <w:pStyle w:val="a3"/>
        <w:spacing w:line="360" w:lineRule="auto"/>
        <w:ind w:leftChars="0" w:left="1440"/>
        <w:jc w:val="both"/>
        <w:rPr>
          <w:rFonts w:ascii="Times New Roman" w:hAnsi="Times New Roman" w:cs="Times New Roman"/>
          <w:b/>
        </w:rPr>
      </w:pPr>
    </w:p>
    <w:p w14:paraId="248A7305" w14:textId="2BC89201" w:rsidR="005A2374" w:rsidRPr="00D458EF" w:rsidRDefault="00814DBD" w:rsidP="005A3846">
      <w:pPr>
        <w:pStyle w:val="a3"/>
        <w:spacing w:line="360" w:lineRule="auto"/>
        <w:ind w:leftChars="0"/>
        <w:jc w:val="both"/>
        <w:rPr>
          <w:rFonts w:ascii="Times New Roman" w:hAnsi="Times New Roman" w:cs="Times New Roman"/>
          <w:b/>
        </w:rPr>
      </w:pPr>
      <w:r>
        <w:rPr>
          <w:rFonts w:ascii="Times New Roman" w:hAnsi="Times New Roman" w:cs="Times New Roman"/>
          <w:b/>
          <w:noProof/>
        </w:rPr>
        <w:lastRenderedPageBreak/>
        <w:drawing>
          <wp:inline distT="0" distB="0" distL="0" distR="0" wp14:anchorId="41B3E5E5" wp14:editId="2E0B6A65">
            <wp:extent cx="5939790" cy="4086860"/>
            <wp:effectExtent l="0" t="0" r="3810" b="8890"/>
            <wp:docPr id="96237516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4086860"/>
                    </a:xfrm>
                    <a:prstGeom prst="rect">
                      <a:avLst/>
                    </a:prstGeom>
                    <a:noFill/>
                    <a:ln>
                      <a:noFill/>
                    </a:ln>
                  </pic:spPr>
                </pic:pic>
              </a:graphicData>
            </a:graphic>
          </wp:inline>
        </w:drawing>
      </w:r>
    </w:p>
    <w:p w14:paraId="2D5FF78A" w14:textId="72D4B62A" w:rsidR="00777E16" w:rsidRPr="00D458EF" w:rsidRDefault="00777E16" w:rsidP="005A3846">
      <w:pPr>
        <w:pStyle w:val="a3"/>
        <w:spacing w:line="360" w:lineRule="auto"/>
        <w:ind w:leftChars="0"/>
        <w:jc w:val="both"/>
        <w:rPr>
          <w:rFonts w:ascii="Times New Roman" w:hAnsi="Times New Roman" w:cs="Times New Roman"/>
          <w:b/>
        </w:rPr>
      </w:pPr>
      <w:r w:rsidRPr="00816641">
        <w:rPr>
          <w:rFonts w:ascii="Times New Roman" w:hAnsi="Times New Roman" w:cs="Times New Roman"/>
          <w:b/>
        </w:rPr>
        <w:t xml:space="preserve">Figure </w:t>
      </w:r>
      <w:r>
        <w:rPr>
          <w:rFonts w:ascii="Times New Roman" w:hAnsi="Times New Roman" w:cs="Times New Roman" w:hint="eastAsia"/>
          <w:b/>
        </w:rPr>
        <w:t>12</w:t>
      </w:r>
      <w:r w:rsidRPr="00816641">
        <w:rPr>
          <w:rFonts w:ascii="Times New Roman" w:hAnsi="Times New Roman" w:cs="Times New Roman"/>
          <w:b/>
        </w:rPr>
        <w:t xml:space="preserve">. </w:t>
      </w:r>
      <w:r w:rsidR="008E18F6" w:rsidRPr="00816641">
        <w:rPr>
          <w:rFonts w:ascii="Times New Roman" w:hAnsi="Times New Roman" w:cs="Times New Roman"/>
          <w:bCs/>
        </w:rPr>
        <w:t>S</w:t>
      </w:r>
      <w:r w:rsidR="008E18F6" w:rsidRPr="00660C0E">
        <w:rPr>
          <w:rFonts w:ascii="Times New Roman" w:hAnsi="Times New Roman" w:cs="Times New Roman"/>
          <w:bCs/>
        </w:rPr>
        <w:t xml:space="preserve">ensitivity of cumulative damage and payout outcomes to </w:t>
      </w:r>
      <w:r w:rsidR="008E18F6">
        <w:rPr>
          <w:rFonts w:ascii="Times New Roman" w:hAnsi="Times New Roman" w:cs="Times New Roman" w:hint="eastAsia"/>
          <w:bCs/>
        </w:rPr>
        <w:t>flood damage ratio</w:t>
      </w:r>
      <w:r w:rsidR="008E18F6" w:rsidRPr="00660C0E">
        <w:rPr>
          <w:rFonts w:ascii="Times New Roman" w:hAnsi="Times New Roman" w:cs="Times New Roman"/>
          <w:bCs/>
        </w:rPr>
        <w:t xml:space="preserve"> (0.</w:t>
      </w:r>
      <w:r w:rsidR="00CC6E4F">
        <w:rPr>
          <w:rFonts w:ascii="Times New Roman" w:hAnsi="Times New Roman" w:cs="Times New Roman" w:hint="eastAsia"/>
          <w:bCs/>
        </w:rPr>
        <w:t>1</w:t>
      </w:r>
      <w:r w:rsidR="008E18F6" w:rsidRPr="00660C0E">
        <w:rPr>
          <w:rFonts w:ascii="Times New Roman" w:hAnsi="Times New Roman" w:cs="Times New Roman"/>
          <w:bCs/>
        </w:rPr>
        <w:t>–0.</w:t>
      </w:r>
      <w:r w:rsidR="00CC6E4F">
        <w:rPr>
          <w:rFonts w:ascii="Times New Roman" w:hAnsi="Times New Roman" w:cs="Times New Roman" w:hint="eastAsia"/>
          <w:bCs/>
        </w:rPr>
        <w:t>8</w:t>
      </w:r>
      <w:r w:rsidR="008E18F6" w:rsidRPr="00660C0E">
        <w:rPr>
          <w:rFonts w:ascii="Times New Roman" w:hAnsi="Times New Roman" w:cs="Times New Roman"/>
          <w:bCs/>
        </w:rPr>
        <w:t>) across MG–NMG configurations.</w:t>
      </w:r>
    </w:p>
    <w:p w14:paraId="24ECC6CC" w14:textId="77777777" w:rsidR="005A2374" w:rsidRPr="00777E16" w:rsidRDefault="005A2374" w:rsidP="005A3846">
      <w:pPr>
        <w:pStyle w:val="a3"/>
        <w:spacing w:line="360" w:lineRule="auto"/>
        <w:ind w:leftChars="0"/>
        <w:jc w:val="both"/>
        <w:rPr>
          <w:rFonts w:ascii="Times New Roman" w:hAnsi="Times New Roman" w:cs="Times New Roman"/>
          <w:b/>
        </w:rPr>
      </w:pPr>
    </w:p>
    <w:p w14:paraId="2D42B27F" w14:textId="616A7AFD" w:rsidR="00C1130E" w:rsidRDefault="00E9397C" w:rsidP="005A3846">
      <w:pPr>
        <w:pStyle w:val="a3"/>
        <w:spacing w:line="360" w:lineRule="auto"/>
        <w:ind w:leftChars="0"/>
        <w:jc w:val="both"/>
        <w:rPr>
          <w:rFonts w:ascii="Times New Roman" w:hAnsi="Times New Roman" w:cs="Times New Roman"/>
          <w:b/>
        </w:rPr>
      </w:pPr>
      <w:r w:rsidRPr="00D458EF">
        <w:rPr>
          <w:rFonts w:ascii="Times New Roman" w:hAnsi="Times New Roman" w:cs="Times New Roman"/>
          <w:b/>
          <w:noProof/>
        </w:rPr>
        <w:lastRenderedPageBreak/>
        <w:drawing>
          <wp:inline distT="0" distB="0" distL="0" distR="0" wp14:anchorId="1427A931" wp14:editId="4CFD2A81">
            <wp:extent cx="5937250" cy="4089400"/>
            <wp:effectExtent l="0" t="0" r="6350" b="6350"/>
            <wp:docPr id="3030504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7250" cy="4089400"/>
                    </a:xfrm>
                    <a:prstGeom prst="rect">
                      <a:avLst/>
                    </a:prstGeom>
                    <a:noFill/>
                    <a:ln>
                      <a:noFill/>
                    </a:ln>
                  </pic:spPr>
                </pic:pic>
              </a:graphicData>
            </a:graphic>
          </wp:inline>
        </w:drawing>
      </w:r>
    </w:p>
    <w:p w14:paraId="61DEDD0A" w14:textId="318927E9" w:rsidR="00816641" w:rsidRPr="00D458EF" w:rsidRDefault="00816641" w:rsidP="005A3846">
      <w:pPr>
        <w:pStyle w:val="a3"/>
        <w:spacing w:line="360" w:lineRule="auto"/>
        <w:ind w:leftChars="0"/>
        <w:jc w:val="both"/>
        <w:rPr>
          <w:rFonts w:ascii="Times New Roman" w:hAnsi="Times New Roman" w:cs="Times New Roman"/>
          <w:b/>
        </w:rPr>
      </w:pPr>
      <w:r w:rsidRPr="00816641">
        <w:rPr>
          <w:rFonts w:ascii="Times New Roman" w:hAnsi="Times New Roman" w:cs="Times New Roman"/>
          <w:b/>
        </w:rPr>
        <w:t xml:space="preserve">Figure </w:t>
      </w:r>
      <w:r w:rsidR="00247809">
        <w:rPr>
          <w:rFonts w:ascii="Times New Roman" w:hAnsi="Times New Roman" w:cs="Times New Roman" w:hint="eastAsia"/>
          <w:b/>
        </w:rPr>
        <w:t>13</w:t>
      </w:r>
      <w:r w:rsidRPr="00816641">
        <w:rPr>
          <w:rFonts w:ascii="Times New Roman" w:hAnsi="Times New Roman" w:cs="Times New Roman"/>
          <w:b/>
        </w:rPr>
        <w:t xml:space="preserve">. </w:t>
      </w:r>
      <w:r w:rsidRPr="00816641">
        <w:rPr>
          <w:rFonts w:ascii="Times New Roman" w:hAnsi="Times New Roman" w:cs="Times New Roman"/>
          <w:bCs/>
        </w:rPr>
        <w:t>S</w:t>
      </w:r>
      <w:r w:rsidR="00660C0E" w:rsidRPr="00660C0E">
        <w:rPr>
          <w:rFonts w:ascii="Times New Roman" w:hAnsi="Times New Roman" w:cs="Times New Roman"/>
          <w:bCs/>
        </w:rPr>
        <w:t>ensitivity of cumulative damage and payout outcomes to shock scale (0.3–0.7) across MG–NMG configurations.</w:t>
      </w:r>
    </w:p>
    <w:p w14:paraId="45AA0ADB" w14:textId="6DDC955D" w:rsidR="00C1130E" w:rsidRPr="00D458EF" w:rsidRDefault="00C1130E" w:rsidP="005A3846">
      <w:pPr>
        <w:pStyle w:val="a3"/>
        <w:spacing w:line="360" w:lineRule="auto"/>
        <w:ind w:leftChars="0"/>
        <w:jc w:val="both"/>
        <w:rPr>
          <w:rFonts w:ascii="Times New Roman" w:hAnsi="Times New Roman" w:cs="Times New Roman"/>
          <w:b/>
        </w:rPr>
      </w:pPr>
    </w:p>
    <w:p w14:paraId="72B72235" w14:textId="77777777" w:rsidR="00C1130E" w:rsidRPr="00D458EF" w:rsidRDefault="00C1130E" w:rsidP="005A3846">
      <w:pPr>
        <w:pStyle w:val="a3"/>
        <w:spacing w:line="360" w:lineRule="auto"/>
        <w:ind w:leftChars="0"/>
        <w:jc w:val="both"/>
        <w:rPr>
          <w:rFonts w:ascii="Times New Roman" w:hAnsi="Times New Roman" w:cs="Times New Roman"/>
          <w:b/>
        </w:rPr>
      </w:pPr>
    </w:p>
    <w:p w14:paraId="14ACFB33" w14:textId="12C7EC75" w:rsidR="00AD2591" w:rsidRPr="00D458EF" w:rsidRDefault="00AD2591" w:rsidP="005A3846">
      <w:pPr>
        <w:pStyle w:val="a3"/>
        <w:numPr>
          <w:ilvl w:val="0"/>
          <w:numId w:val="38"/>
        </w:numPr>
        <w:spacing w:line="360" w:lineRule="auto"/>
        <w:ind w:leftChars="0" w:left="482" w:hanging="482"/>
        <w:jc w:val="both"/>
        <w:outlineLvl w:val="1"/>
        <w:rPr>
          <w:rFonts w:ascii="Times New Roman" w:hAnsi="Times New Roman" w:cs="Times New Roman"/>
          <w:b/>
        </w:rPr>
      </w:pPr>
      <w:r w:rsidRPr="00D458EF">
        <w:rPr>
          <w:rFonts w:ascii="Times New Roman" w:hAnsi="Times New Roman" w:cs="Times New Roman"/>
          <w:b/>
        </w:rPr>
        <w:t>I</w:t>
      </w:r>
      <w:r w:rsidR="000427A1" w:rsidRPr="00D458EF">
        <w:rPr>
          <w:rFonts w:ascii="Times New Roman" w:hAnsi="Times New Roman" w:cs="Times New Roman"/>
          <w:b/>
        </w:rPr>
        <w:t>mplications of behavioral adaptation pathways</w:t>
      </w:r>
    </w:p>
    <w:p w14:paraId="2EA94BA1" w14:textId="77777777" w:rsidR="00AD2591" w:rsidRPr="00D458EF" w:rsidRDefault="00AD2591" w:rsidP="005A3846">
      <w:pPr>
        <w:pStyle w:val="a3"/>
        <w:spacing w:line="360" w:lineRule="auto"/>
        <w:ind w:leftChars="0"/>
        <w:jc w:val="both"/>
        <w:rPr>
          <w:rFonts w:ascii="Times New Roman" w:hAnsi="Times New Roman" w:cs="Times New Roman"/>
          <w:b/>
        </w:rPr>
      </w:pPr>
    </w:p>
    <w:p w14:paraId="3BD1D497" w14:textId="2E9CF5C4" w:rsidR="00435256" w:rsidRPr="006C0C6D" w:rsidRDefault="002D24F2" w:rsidP="005A3846">
      <w:pPr>
        <w:pStyle w:val="a3"/>
        <w:numPr>
          <w:ilvl w:val="0"/>
          <w:numId w:val="44"/>
        </w:numPr>
        <w:spacing w:line="360" w:lineRule="auto"/>
        <w:ind w:leftChars="0"/>
        <w:jc w:val="both"/>
        <w:rPr>
          <w:rFonts w:ascii="Times New Roman" w:hAnsi="Times New Roman" w:cs="Times New Roman"/>
          <w:bCs/>
        </w:rPr>
      </w:pPr>
      <w:proofErr w:type="gramStart"/>
      <w:r w:rsidRPr="00D458EF">
        <w:rPr>
          <w:rFonts w:ascii="Times New Roman" w:hAnsi="Times New Roman" w:cs="Times New Roman"/>
          <w:bCs/>
        </w:rPr>
        <w:t>Decoupling</w:t>
      </w:r>
      <w:proofErr w:type="gramEnd"/>
      <w:r w:rsidRPr="00D458EF">
        <w:rPr>
          <w:rFonts w:ascii="Times New Roman" w:hAnsi="Times New Roman" w:cs="Times New Roman"/>
          <w:bCs/>
        </w:rPr>
        <w:t xml:space="preserve"> between flood damage and financial compensation</w:t>
      </w:r>
    </w:p>
    <w:p w14:paraId="3E0ADBED" w14:textId="16E5C35F" w:rsidR="00542986" w:rsidRPr="00D458EF" w:rsidRDefault="00A3259E" w:rsidP="005A3846">
      <w:pPr>
        <w:pStyle w:val="a3"/>
        <w:spacing w:line="360" w:lineRule="auto"/>
        <w:ind w:leftChars="0" w:left="1440"/>
        <w:jc w:val="both"/>
        <w:rPr>
          <w:rFonts w:ascii="Times New Roman" w:hAnsi="Times New Roman" w:cs="Times New Roman"/>
          <w:bCs/>
        </w:rPr>
      </w:pPr>
      <w:r w:rsidRPr="00D458EF">
        <w:rPr>
          <w:rFonts w:ascii="Times New Roman" w:hAnsi="Times New Roman" w:cs="Times New Roman"/>
          <w:bCs/>
        </w:rPr>
        <w:tab/>
      </w:r>
      <w:r w:rsidR="00815AA1">
        <w:rPr>
          <w:rFonts w:ascii="Times New Roman" w:hAnsi="Times New Roman" w:cs="Times New Roman" w:hint="eastAsia"/>
          <w:bCs/>
        </w:rPr>
        <w:t>T</w:t>
      </w:r>
      <w:r w:rsidR="009A7226" w:rsidRPr="00D458EF">
        <w:rPr>
          <w:rFonts w:ascii="Times New Roman" w:hAnsi="Times New Roman" w:cs="Times New Roman"/>
          <w:bCs/>
        </w:rPr>
        <w:t xml:space="preserve">he results indicate that improvements in financial outcomes do not necessarily correspond to long-term reductions in flood risk. Across scenarios with identical hazard sequences, cumulative insurance payouts and </w:t>
      </w:r>
      <w:r w:rsidR="00DC680D">
        <w:rPr>
          <w:rFonts w:ascii="Times New Roman" w:hAnsi="Times New Roman" w:cs="Times New Roman"/>
          <w:bCs/>
        </w:rPr>
        <w:t>actual</w:t>
      </w:r>
      <w:r w:rsidR="009A7226" w:rsidRPr="00D458EF">
        <w:rPr>
          <w:rFonts w:ascii="Times New Roman" w:hAnsi="Times New Roman" w:cs="Times New Roman"/>
          <w:bCs/>
        </w:rPr>
        <w:t xml:space="preserve"> losses can diverge substantially from cumulative flood damage, revealing a separation between financial compensation and physical risk trajectories. While insurance mechanisms can reduce </w:t>
      </w:r>
      <w:r w:rsidR="00DC680D">
        <w:rPr>
          <w:rFonts w:ascii="Times New Roman" w:hAnsi="Times New Roman" w:cs="Times New Roman"/>
          <w:bCs/>
        </w:rPr>
        <w:t>actual</w:t>
      </w:r>
      <w:r w:rsidR="009A7226" w:rsidRPr="00D458EF">
        <w:rPr>
          <w:rFonts w:ascii="Times New Roman" w:hAnsi="Times New Roman" w:cs="Times New Roman"/>
          <w:bCs/>
        </w:rPr>
        <w:t xml:space="preserve"> losses at the household level, they do not necessarily alter the accumulation of flood damage over time. This separation aligns with the broader distinction between risk transfer and risk reduction that has been widely discussed in flood risk management and insurance-as-adaptation research</w:t>
      </w:r>
      <w:r w:rsidR="00C64739" w:rsidRPr="00D458EF">
        <w:rPr>
          <w:rFonts w:ascii="Times New Roman" w:hAnsi="Times New Roman" w:cs="Times New Roman"/>
          <w:bCs/>
        </w:rPr>
        <w:t xml:space="preserve"> </w:t>
      </w:r>
      <w:r w:rsidR="000A6469" w:rsidRPr="00D458EF">
        <w:rPr>
          <w:rFonts w:ascii="Times New Roman" w:hAnsi="Times New Roman" w:cs="Times New Roman"/>
          <w:bCs/>
        </w:rPr>
        <w:fldChar w:fldCharType="begin"/>
      </w:r>
      <w:r w:rsidR="00542986" w:rsidRPr="00D458EF">
        <w:rPr>
          <w:rFonts w:ascii="Times New Roman" w:hAnsi="Times New Roman" w:cs="Times New Roman"/>
          <w:bCs/>
        </w:rPr>
        <w:instrText xml:space="preserve"> ADDIN ZOTERO_ITEM CSL_CITATION {"citationID":"VUpuCLMm","properties":{"formattedCitation":"(Filatova, 2014; Wang et al., 2022)","plainCitation":"(Filatova, 2014; Wang et al., 2022)","noteIndex":0},"citationItems":[{"id":2096,"uris":["http://zotero.org/users/14772686/items/T8WSM3B4"],"itemData":{"id":2096,"type":"article-journal","abstract":"Climate change creates challenges for developments in coastal and delta areas. The risks are reduced more effectively if both planned and autonomous adaptations take place. Flood risk management is dominated by planned adaptation, which is primarily command-and-control in nature, e.g. spatial planning and engineered flood defenses. If autonomous adaptation is downplayed people are more likely to make land-use choices that collectively lead to increasing flood risks while leaving the costs of adaptation and land scarcity with governments. Unless governments provide stimuli, autonomous adaptation in flood-prone areas is unlikely to happen due to spatial externalities, path-dependency and time lag between private investment decisions and consequences. This paper reviews the theory and practice of using market-based instruments (MBIs) for flood-risk management as means for autonomous climate change adaptation. While the use of MBIs for climate change mitigation is widely discussed, systematized reviews of various MBIs for climate change adaptation are rare. Yet, international experience shows that such measures as preferential taxes, non-perverse subsidies, flood insurance, marketable permits and transferable development rights can engage local stakeholders and provide price signals that stimulate individual adaptation. MBIs combined with command-based instruments help policy-makers to guide developments in flood-prone zone by affecting individual behavior via market forces. As adverse consequences of climate change become more pronounced locally, quantity-based MBIs unfeasible at present should become more attractive. Price-based MBIs that are currently employed could be designed to strategically account for increasing climate-induced flood and erosion probabilities in coastal and delta areas.","container-title":"Environmental Science &amp; Policy","DOI":"10.1016/j.envsci.2013.09.005","ISSN":"1462-9011","journalAbbreviation":"Environmental Science &amp; Policy","page":"227-242","source":"ScienceDirect","title":"Market-based instruments for flood risk management: A review of theory, practice and perspectives for climate adaptation policy","title-short":"Market-based instruments for flood risk management","volume":"37","author":[{"family":"Filatova","given":"Tatiana"}],"issued":{"date-parts":[["2014",3,1]]}}},{"id":2058,"uris":["http://zotero.org/users/14772686/items/MTQ9NPXM"],"itemData":{"id":2058,"type":"article-journal","abstract":"Climate change and socioeconomic developments are increasing the frequency and severity of floods. Flood management is widely recognized as an effective way to reduce the adverse consequences, and a more resilient and sustainable flood management approach has been the goal in recent studies. This study used a detailed bibliometric analysis of keywords, terms and timelines in the research field of the flood research. It provides new insight into the flood research trends, by examining the research frontiers from 2000 to 2021. We conclude that the trend of flood research has experienced a transition from flood control to flood resilience. The review shows that flood research has moved from traditional flood management, which provides mitigation strategies, to flood risk management, which provides an adaptation approach—adjusting mitigation measures, to flood resilience management, which provides a more resilient and sustainable plan to cope with flood disasters. We also present a detailed overview of the field of flood research, and review the definition of risk, risk analysis methods, flood management, flood risk management, flood resilience, and corresponding implementation strategies. We conclude that integrating the concept of resilience into the framework of risk management is a better approach in future flood management directions. Consequently, appropriate options and decisions prior to disaster, during disaster, and post-disaster will effectively reduce the adverse consequences using the theory of risk, resilience, and sustainability.","container-title":"Heliyon","DOI":"10.1016/j.heliyon.2022.e11763","ISSN":"2405-8440","issue":"11","journalAbbreviation":"Heliyon","page":"e11763","source":"ScienceDirect","title":"A review of the flood management: from flood control to flood resilience","title-short":"A review of the flood management","volume":"8","author":[{"family":"Wang","given":"Lihong"},{"family":"Cui","given":"Shenghui"},{"family":"Li","given":"Yuanzheng"},{"family":"Huang","given":"Hongjie"},{"family":"Manandhar","given":"Bikram"},{"family":"Nitivattananon","given":"Vilas"},{"family":"Fang","given":"Xuejuan"},{"family":"Huang","given":"Wei"}],"issued":{"date-parts":[["2022",11,1]]}}}],"schema":"https://github.com/citation-style-language/schema/raw/master/csl-citation.json"} </w:instrText>
      </w:r>
      <w:r w:rsidR="000A6469" w:rsidRPr="00D458EF">
        <w:rPr>
          <w:rFonts w:ascii="Times New Roman" w:hAnsi="Times New Roman" w:cs="Times New Roman"/>
          <w:bCs/>
        </w:rPr>
        <w:fldChar w:fldCharType="separate"/>
      </w:r>
      <w:r w:rsidR="00542986" w:rsidRPr="00D458EF">
        <w:rPr>
          <w:rFonts w:ascii="Times New Roman" w:hAnsi="Times New Roman" w:cs="Times New Roman"/>
        </w:rPr>
        <w:t>(Filatova, 2014; Wang et al., 2022)</w:t>
      </w:r>
      <w:r w:rsidR="000A6469" w:rsidRPr="00D458EF">
        <w:rPr>
          <w:rFonts w:ascii="Times New Roman" w:hAnsi="Times New Roman" w:cs="Times New Roman"/>
          <w:bCs/>
        </w:rPr>
        <w:fldChar w:fldCharType="end"/>
      </w:r>
      <w:r w:rsidR="009A7226" w:rsidRPr="00D458EF">
        <w:rPr>
          <w:rFonts w:ascii="Times New Roman" w:hAnsi="Times New Roman" w:cs="Times New Roman"/>
          <w:bCs/>
        </w:rPr>
        <w:t xml:space="preserve">. From a system-level perspective, these findings caution against interpreting rising insurance payouts or declining </w:t>
      </w:r>
      <w:r w:rsidR="00DC680D">
        <w:rPr>
          <w:rFonts w:ascii="Times New Roman" w:hAnsi="Times New Roman" w:cs="Times New Roman"/>
          <w:bCs/>
        </w:rPr>
        <w:t>actual</w:t>
      </w:r>
      <w:r w:rsidR="009A7226" w:rsidRPr="00D458EF">
        <w:rPr>
          <w:rFonts w:ascii="Times New Roman" w:hAnsi="Times New Roman" w:cs="Times New Roman"/>
          <w:bCs/>
        </w:rPr>
        <w:t xml:space="preserve"> losses as </w:t>
      </w:r>
      <w:r w:rsidR="009A7226" w:rsidRPr="00D458EF">
        <w:rPr>
          <w:rFonts w:ascii="Times New Roman" w:hAnsi="Times New Roman" w:cs="Times New Roman"/>
          <w:bCs/>
        </w:rPr>
        <w:lastRenderedPageBreak/>
        <w:t>evidence of reduced flood risk, particularly when compensation pathways expand without corresponding changes to the processes that drive repeated flood impacts</w:t>
      </w:r>
      <w:r w:rsidR="00682F70" w:rsidRPr="00D458EF">
        <w:rPr>
          <w:rFonts w:ascii="Times New Roman" w:hAnsi="Times New Roman" w:cs="Times New Roman"/>
          <w:bCs/>
        </w:rPr>
        <w:t xml:space="preserve"> </w:t>
      </w:r>
      <w:r w:rsidR="00682F70" w:rsidRPr="00D458EF">
        <w:rPr>
          <w:rFonts w:ascii="Times New Roman" w:hAnsi="Times New Roman" w:cs="Times New Roman"/>
          <w:bCs/>
        </w:rPr>
        <w:fldChar w:fldCharType="begin"/>
      </w:r>
      <w:r w:rsidR="00F66B36" w:rsidRPr="00D458EF">
        <w:rPr>
          <w:rFonts w:ascii="Times New Roman" w:hAnsi="Times New Roman" w:cs="Times New Roman"/>
          <w:bCs/>
        </w:rPr>
        <w:instrText xml:space="preserve"> ADDIN ZOTERO_ITEM CSL_CITATION {"citationID":"TyQJXl75","properties":{"formattedCitation":"(Hudson et al., 2017; Thistlethwaite et al., 2020)","plainCitation":"(Hudson et al., 2017; Thistlethwaite et al., 2020)","noteIndex":0},"citationItems":[{"id":2080,"uris":["http://zotero.org/users/14772686/items/2U4L46V3"],"itemData":{"id":2080,"type":"article-journal","abstract":"Moral hazard in natural disaster insurance markets results in policyholders preparing less, increasing the risk they face. However, moral hazard may not arise, due to high risk aversion or market context. We study the relationship between disaster risk reduction and insurance coverage to assess the presence of moral hazard for two different natural hazards, using four econometric models on survey data from Germany and the United States. The results show that moral hazard is absent. Nevertheless, adverse risk selection may be present. This has significant policy relevance such as opportunities for strengthening the link between insurance and risk reduction measures. (JEL Q54)","container-title":"Land Economics","DOI":"10.3368/le.93.2.179","ISSN":"0023-7639, 1543-8325","issue":"2","language":"en","license":"© 2017 by the Board of Regents of the University of Wisconsin System","page":"179-208","publisher":"University of Wisconsin Press","section":"Articles","source":"le.uwpress.org","title":"Moral Hazard in Natural Disaster Insurance Markets: Empirical Evidence from Germany and the United States","title-short":"Moral Hazard in Natural Disaster Insurance Markets","volume":"93","author":[{"family":"Hudson","given":"Paul"},{"family":"Botzen","given":"W. J. Wouter"},{"family":"Czajkowski","given":"Jeffrey"},{"family":"Kreibich","given":"Heidi"}],"issued":{"date-parts":[["2017",5,1]]}}},{"id":2065,"uris":["http://zotero.org/users/14772686/items/RHICF29R"],"itemData":{"id":2065,"type":"article-journal","abstract":"By using risk-adjusted price signals to transfer responsibility for property-level flood protection and recovery from governments to property owners, flood insurance represents a key tenet of the flood risk management (FRM) paradigm. The Government of Canada has worked with insurers to introduce flood insurance for the first time as a part of a broader shift towards FRM to limit the growing costs of flooding. The viability of flood insurance in Canada, however, has been questioned by research that disputes the utility of purchasing coverage by property owners. This study tested this assumption by drawing on public opinion survey data to assess factors that influence decisions about the utility of insurance. The findings reveal that Canadians have limited knowledge of flood insurance coverage, exhibit a low willingness-to-pay for both insurance and property-level flood protection measures, and expect governments to shoulder much of the financial burden of flood recovery through disaster assistance.","container-title":"International Journal of Disaster Risk Science","DOI":"10.1007/s13753-020-00272-z","ISSN":"2192-6395","issue":"3","journalAbbreviation":"Int J Disaster Risk Sci","language":"en","page":"263-273","source":"Springer Link","title":"Barriers to Insurance as a Flood Risk Management Tool: Evidence from a Survey of Property Owners","title-short":"Barriers to Insurance as a Flood Risk Management Tool","volume":"11","author":[{"family":"Thistlethwaite","given":"Jason"},{"family":"Henstra","given":"Daniel"},{"family":"Brown","given":"Craig"},{"family":"Scott","given":"Daniel"}],"issued":{"date-parts":[["2020",6,1]]}}}],"schema":"https://github.com/citation-style-language/schema/raw/master/csl-citation.json"} </w:instrText>
      </w:r>
      <w:r w:rsidR="00682F70" w:rsidRPr="00D458EF">
        <w:rPr>
          <w:rFonts w:ascii="Times New Roman" w:hAnsi="Times New Roman" w:cs="Times New Roman"/>
          <w:bCs/>
        </w:rPr>
        <w:fldChar w:fldCharType="separate"/>
      </w:r>
      <w:r w:rsidR="00F66B36" w:rsidRPr="00D458EF">
        <w:rPr>
          <w:rFonts w:ascii="Times New Roman" w:hAnsi="Times New Roman" w:cs="Times New Roman"/>
        </w:rPr>
        <w:t>(Hudson et al., 2017; Thistlethwaite et al., 2020)</w:t>
      </w:r>
      <w:r w:rsidR="00682F70" w:rsidRPr="00D458EF">
        <w:rPr>
          <w:rFonts w:ascii="Times New Roman" w:hAnsi="Times New Roman" w:cs="Times New Roman"/>
          <w:bCs/>
        </w:rPr>
        <w:fldChar w:fldCharType="end"/>
      </w:r>
      <w:r w:rsidR="009A7226" w:rsidRPr="00D458EF">
        <w:rPr>
          <w:rFonts w:ascii="Times New Roman" w:hAnsi="Times New Roman" w:cs="Times New Roman"/>
          <w:bCs/>
        </w:rPr>
        <w:t>.</w:t>
      </w:r>
    </w:p>
    <w:p w14:paraId="46B837DD" w14:textId="36CEFE9F" w:rsidR="00435256" w:rsidRPr="00D458EF" w:rsidRDefault="009A7226" w:rsidP="005A3846">
      <w:pPr>
        <w:pStyle w:val="a3"/>
        <w:spacing w:line="360" w:lineRule="auto"/>
        <w:ind w:leftChars="0" w:left="1440"/>
        <w:jc w:val="both"/>
        <w:rPr>
          <w:rFonts w:ascii="Times New Roman" w:hAnsi="Times New Roman" w:cs="Times New Roman"/>
          <w:bCs/>
        </w:rPr>
      </w:pPr>
      <w:r w:rsidRPr="00D458EF">
        <w:rPr>
          <w:rFonts w:ascii="Times New Roman" w:hAnsi="Times New Roman" w:cs="Times New Roman"/>
          <w:bCs/>
        </w:rPr>
        <w:t xml:space="preserve"> </w:t>
      </w:r>
    </w:p>
    <w:p w14:paraId="51C48BA8" w14:textId="7ACDDE68" w:rsidR="002D24F2" w:rsidRPr="00D458EF" w:rsidRDefault="002D24F2" w:rsidP="005A3846">
      <w:pPr>
        <w:pStyle w:val="a3"/>
        <w:numPr>
          <w:ilvl w:val="0"/>
          <w:numId w:val="44"/>
        </w:numPr>
        <w:spacing w:line="360" w:lineRule="auto"/>
        <w:ind w:leftChars="0"/>
        <w:jc w:val="both"/>
        <w:rPr>
          <w:rFonts w:ascii="Times New Roman" w:hAnsi="Times New Roman" w:cs="Times New Roman"/>
          <w:bCs/>
        </w:rPr>
      </w:pPr>
      <w:r w:rsidRPr="00D458EF">
        <w:rPr>
          <w:rFonts w:ascii="Times New Roman" w:hAnsi="Times New Roman" w:cs="Times New Roman"/>
          <w:bCs/>
        </w:rPr>
        <w:t>Behavioral responses and their persistence across tenure and space</w:t>
      </w:r>
    </w:p>
    <w:p w14:paraId="41B3C387" w14:textId="277C60F9" w:rsidR="00435256" w:rsidRPr="00D458EF" w:rsidRDefault="00DE606F" w:rsidP="00005EB0">
      <w:pPr>
        <w:pStyle w:val="a3"/>
        <w:spacing w:line="360" w:lineRule="auto"/>
        <w:ind w:leftChars="0" w:left="1440"/>
        <w:jc w:val="both"/>
        <w:rPr>
          <w:rFonts w:ascii="Times New Roman" w:hAnsi="Times New Roman" w:cs="Times New Roman"/>
          <w:bCs/>
        </w:rPr>
      </w:pPr>
      <w:r w:rsidRPr="00D458EF">
        <w:rPr>
          <w:rFonts w:ascii="Times New Roman" w:hAnsi="Times New Roman" w:cs="Times New Roman"/>
          <w:bCs/>
        </w:rPr>
        <w:tab/>
        <w:t xml:space="preserve">Building on this decoupling, the results indicate that the effectiveness of adaptation pathways depends on how behavioral responses are distributed and sustained across tenure groups and space. </w:t>
      </w:r>
      <w:r w:rsidR="006051D0" w:rsidRPr="00D458EF">
        <w:rPr>
          <w:rFonts w:ascii="Times New Roman" w:hAnsi="Times New Roman" w:cs="Times New Roman"/>
          <w:bCs/>
        </w:rPr>
        <w:t>Behavioral adjustments following severe flood events vary markedly in persistence and spatial alignment with flood exposure, with homeowners exhibiting more durable and spatially anchored adaptive shifts over time.</w:t>
      </w:r>
      <w:r w:rsidRPr="00D458EF">
        <w:rPr>
          <w:rFonts w:ascii="Times New Roman" w:hAnsi="Times New Roman" w:cs="Times New Roman"/>
          <w:bCs/>
        </w:rPr>
        <w:t xml:space="preserve"> In contrast, renter responses are largely short-lived, with increases in insurance participation and other adaptive actions dissipating within one to two years after severe flood events, even under repeated exposure. </w:t>
      </w:r>
      <w:r w:rsidRPr="00D458EF">
        <w:rPr>
          <w:rFonts w:ascii="Times New Roman" w:hAnsi="Times New Roman" w:cs="Times New Roman"/>
        </w:rPr>
        <w:t xml:space="preserve">This tenure-based asymmetry is consistent with evidence that renters face distinct constraints on sustained risk reduction, including limited control over structural measures and higher residential mobility </w:t>
      </w:r>
      <w:r w:rsidR="00DA122A" w:rsidRPr="00D458EF">
        <w:rPr>
          <w:rFonts w:ascii="Times New Roman" w:hAnsi="Times New Roman" w:cs="Times New Roman"/>
        </w:rPr>
        <w:fldChar w:fldCharType="begin"/>
      </w:r>
      <w:r w:rsidR="00005EB0">
        <w:rPr>
          <w:rFonts w:ascii="Times New Roman" w:hAnsi="Times New Roman" w:cs="Times New Roman"/>
        </w:rPr>
        <w:instrText xml:space="preserve"> ADDIN ZOTERO_ITEM CSL_CITATION {"citationID":"Mt3tmjVP","properties":{"formattedCitation":"(Lee &amp; Van Zandt, 2019; Shcheglovitova &amp; Lee, 2024)","plainCitation":"(Lee &amp; Van Zandt, 2019; Shcheglovitova &amp; Lee, 2024)","noteIndex":0},"citationItems":[{"id":"NkoeHmjM/vUj9qsmP","uris":["http://zotero.org/users/14772686/items/5TLU6J9N"],"itemData":{"id":2930,"type":"article-journal","abstract":"As a group, renters experience a broader range of housing problems than do owners, and disasters worsen these problems. Yet to date, housing tenure has been relatively understudied compared to other vulnerability characteristics. This review addresses the differences in housing needs faced by renters and owners during and after a disaster. It examines variation between renters and owners, recent studies of a disaster’s impacts on each group by disaster phase, and disaster-related housing policies and programs. This research explores significant questions related to the housing needs of renters in times of disaster, yielding important insights for policy makers and local planners.","container-title":"Journal of Planning Literature","DOI":"10.1177/0885412218812080","ISSN":"0885-4122","issue":"2","language":"EN","page":"156-170","publisher":"SAGE Publications Inc","source":"SAGE Journals","title":"Housing Tenure and Social Vulnerability to Disasters: A Review of the Evidence","title-short":"Housing Tenure and Social Vulnerability to Disasters","volume":"34","author":[{"family":"Lee","given":"Jee Young"},{"family":"Van Zandt","given":"Shannon"}],"issued":{"date-parts":[["2019",5,1]]}}},{"id":"NkoeHmjM/agnHQq1R","uris":["http://zotero.org/users/14772686/items/AUH5DE9G"],"itemData":{"id":2938,"type":"article-journal","container-title":"Cityscape","issue":"1","page":"35–60","publisher":"U.S. Department of Housing and Urban Development","title":"Merging Federal Flooding and Housing Data to Gain Insight into Flood Impacts on Federally Assisted Households","volume":"26","author":[{"family":"Shcheglovitova","given":"Mariya"},{"family":"Lee","given":"Gina"}],"issued":{"date-parts":[["2024"]]}}}],"schema":"https://github.com/citation-style-language/schema/raw/master/csl-citation.json"} </w:instrText>
      </w:r>
      <w:r w:rsidR="00DA122A" w:rsidRPr="00D458EF">
        <w:rPr>
          <w:rFonts w:ascii="Times New Roman" w:hAnsi="Times New Roman" w:cs="Times New Roman"/>
        </w:rPr>
        <w:fldChar w:fldCharType="separate"/>
      </w:r>
      <w:r w:rsidR="00005EB0" w:rsidRPr="00005EB0">
        <w:rPr>
          <w:rFonts w:ascii="Times New Roman" w:hAnsi="Times New Roman" w:cs="Times New Roman"/>
        </w:rPr>
        <w:t xml:space="preserve">(Lee &amp; Van Zandt, 2019; </w:t>
      </w:r>
      <w:proofErr w:type="spellStart"/>
      <w:r w:rsidR="00005EB0" w:rsidRPr="00005EB0">
        <w:rPr>
          <w:rFonts w:ascii="Times New Roman" w:hAnsi="Times New Roman" w:cs="Times New Roman"/>
        </w:rPr>
        <w:t>Shcheglovitova</w:t>
      </w:r>
      <w:proofErr w:type="spellEnd"/>
      <w:r w:rsidR="00005EB0" w:rsidRPr="00005EB0">
        <w:rPr>
          <w:rFonts w:ascii="Times New Roman" w:hAnsi="Times New Roman" w:cs="Times New Roman"/>
        </w:rPr>
        <w:t xml:space="preserve"> &amp; Lee, 2024)</w:t>
      </w:r>
      <w:r w:rsidR="00DA122A" w:rsidRPr="00D458EF">
        <w:rPr>
          <w:rFonts w:ascii="Times New Roman" w:hAnsi="Times New Roman" w:cs="Times New Roman"/>
        </w:rPr>
        <w:fldChar w:fldCharType="end"/>
      </w:r>
      <w:r w:rsidRPr="00D458EF">
        <w:rPr>
          <w:rFonts w:ascii="Times New Roman" w:hAnsi="Times New Roman" w:cs="Times New Roman"/>
        </w:rPr>
        <w:t>. Moreover, the attenuation of post-event responses aligns with findings that disaster-triggered risk salience and insurance demand can decay over time, even after severe events</w:t>
      </w:r>
      <w:r w:rsidRPr="00D458EF">
        <w:rPr>
          <w:rFonts w:ascii="Times New Roman" w:hAnsi="Times New Roman" w:cs="Times New Roman"/>
          <w:b/>
          <w:bCs/>
        </w:rPr>
        <w:t xml:space="preserve"> </w:t>
      </w:r>
      <w:r w:rsidR="00E57FCF" w:rsidRPr="00D458EF">
        <w:rPr>
          <w:rFonts w:ascii="Times New Roman" w:hAnsi="Times New Roman" w:cs="Times New Roman"/>
          <w:b/>
          <w:bCs/>
        </w:rPr>
        <w:fldChar w:fldCharType="begin"/>
      </w:r>
      <w:r w:rsidR="00D60DBA">
        <w:rPr>
          <w:rFonts w:ascii="Times New Roman" w:hAnsi="Times New Roman" w:cs="Times New Roman"/>
          <w:b/>
          <w:bCs/>
        </w:rPr>
        <w:instrText xml:space="preserve"> ADDIN ZOTERO_ITEM CSL_CITATION {"citationID":"eRKiJOLL","properties":{"formattedCitation":"(Borsky &amp; Hennighausen, 2022; Gallagher, 2014; Kousky, 2017)","plainCitation":"(Borsky &amp; Hennighausen, 2022; Gallagher, 2014; Kousky, 2017)","noteIndex":0},"citationItems":[{"id":"NkoeHmjM/lfHtzzBV","uris":["http://zotero.org/users/14772686/items/C2K8RQEN"],"itemData":{"id":2941,"type":"article-journal","container-title":"Land Economics","DOI":"10.3368/le.98.4.061720-0088R2","issue":"4","page":"537–559","title":"Public Flood Risk Mitigation and the Homeowner’s Insurance Demand Response","volume":"98","author":[{"family":"Borsky","given":"Stefan"},{"family":"Hennighausen","given":"Hannah"}],"issued":{"date-parts":[["2022"]]}}},{"id":"NkoeHmjM/TDJqvCMj","uris":["http://zotero.org/users/14772686/items/R6HMHP2B"],"itemData":{"id":2939,"type":"article-journal","container-title":"American Economic Journal: Applied Economics","DOI":"10.1257/app.6.3.206","issue":"3","page":"206–233","title":"Learning about an Infrequent Event: Evidence from Flood Insurance Take-Up in the United States","volume":"6","author":[{"family":"Gallagher","given":"Justin"}],"issued":{"date-parts":[["2014"]]}}},{"id":"NkoeHmjM/1eFoUEoM","uris":["http://zotero.org/users/14772686/items/AZR7TW83"],"itemData":{"id":2940,"type":"article-journal","container-title":"Annual Review of Resource Economics","DOI":"10.1146/annurev-resource-100516-053409","page":"83–104","title":"Disasters and Risk Perception","volume":"9","author":[{"family":"Kousky","given":"Carolyn"}],"issued":{"date-parts":[["2017"]]}}}],"schema":"https://github.com/citation-style-language/schema/raw/master/csl-citation.json"} </w:instrText>
      </w:r>
      <w:r w:rsidR="00E57FCF" w:rsidRPr="00D458EF">
        <w:rPr>
          <w:rFonts w:ascii="Times New Roman" w:hAnsi="Times New Roman" w:cs="Times New Roman"/>
          <w:b/>
          <w:bCs/>
        </w:rPr>
        <w:fldChar w:fldCharType="separate"/>
      </w:r>
      <w:r w:rsidR="00FB4F1A" w:rsidRPr="00D458EF">
        <w:rPr>
          <w:rFonts w:ascii="Times New Roman" w:hAnsi="Times New Roman" w:cs="Times New Roman"/>
        </w:rPr>
        <w:t>(Borsky &amp; Hennighausen, 2022; Gallagher, 2014; Kousky, 2017)</w:t>
      </w:r>
      <w:r w:rsidR="00E57FCF" w:rsidRPr="00D458EF">
        <w:rPr>
          <w:rFonts w:ascii="Times New Roman" w:hAnsi="Times New Roman" w:cs="Times New Roman"/>
          <w:b/>
          <w:bCs/>
        </w:rPr>
        <w:fldChar w:fldCharType="end"/>
      </w:r>
      <w:r w:rsidRPr="00D458EF">
        <w:rPr>
          <w:rFonts w:ascii="Times New Roman" w:hAnsi="Times New Roman" w:cs="Times New Roman"/>
          <w:b/>
          <w:bCs/>
        </w:rPr>
        <w:t>.</w:t>
      </w:r>
      <w:r w:rsidRPr="00D458EF">
        <w:rPr>
          <w:rFonts w:ascii="Times New Roman" w:hAnsi="Times New Roman" w:cs="Times New Roman"/>
          <w:bCs/>
        </w:rPr>
        <w:t xml:space="preserve"> Together, these patterns suggest that short-term responsiveness alone is insufficient to alter long-term flood outcomes; sustained adaptation aligned with recurrent flood risk is required to translate behavioral change into lasting reductions in aggregate flood impacts.</w:t>
      </w:r>
    </w:p>
    <w:p w14:paraId="2626F2BA" w14:textId="77777777" w:rsidR="00435256" w:rsidRPr="00D458EF" w:rsidRDefault="00435256" w:rsidP="005A3846">
      <w:pPr>
        <w:pStyle w:val="a3"/>
        <w:spacing w:line="360" w:lineRule="auto"/>
        <w:ind w:leftChars="0" w:left="1440"/>
        <w:jc w:val="both"/>
        <w:rPr>
          <w:rFonts w:ascii="Times New Roman" w:hAnsi="Times New Roman" w:cs="Times New Roman"/>
          <w:bCs/>
        </w:rPr>
      </w:pPr>
    </w:p>
    <w:p w14:paraId="0739F57B" w14:textId="292B254B" w:rsidR="002D24F2" w:rsidRPr="00D458EF" w:rsidRDefault="00435256" w:rsidP="005A3846">
      <w:pPr>
        <w:pStyle w:val="a3"/>
        <w:numPr>
          <w:ilvl w:val="0"/>
          <w:numId w:val="44"/>
        </w:numPr>
        <w:spacing w:line="360" w:lineRule="auto"/>
        <w:ind w:leftChars="0"/>
        <w:jc w:val="both"/>
        <w:rPr>
          <w:rFonts w:ascii="Times New Roman" w:hAnsi="Times New Roman" w:cs="Times New Roman"/>
          <w:bCs/>
        </w:rPr>
      </w:pPr>
      <w:r w:rsidRPr="00D458EF">
        <w:rPr>
          <w:rFonts w:ascii="Times New Roman" w:hAnsi="Times New Roman" w:cs="Times New Roman"/>
          <w:bCs/>
        </w:rPr>
        <w:t>Divergent risk and financial burdens across tenure groups</w:t>
      </w:r>
    </w:p>
    <w:p w14:paraId="46C14EA5" w14:textId="77777777" w:rsidR="00435256" w:rsidRPr="00D458EF" w:rsidRDefault="00435256" w:rsidP="005A3846">
      <w:pPr>
        <w:pStyle w:val="a3"/>
        <w:spacing w:line="360" w:lineRule="auto"/>
        <w:ind w:leftChars="0" w:left="1440"/>
        <w:jc w:val="both"/>
        <w:rPr>
          <w:rFonts w:ascii="Times New Roman" w:hAnsi="Times New Roman" w:cs="Times New Roman"/>
          <w:bCs/>
        </w:rPr>
      </w:pPr>
    </w:p>
    <w:p w14:paraId="02DFA53F" w14:textId="0E943761" w:rsidR="00435256" w:rsidRPr="00D458EF" w:rsidRDefault="002116F8" w:rsidP="00005EB0">
      <w:pPr>
        <w:pStyle w:val="a3"/>
        <w:spacing w:line="360" w:lineRule="auto"/>
        <w:ind w:leftChars="0" w:left="1440"/>
        <w:jc w:val="both"/>
        <w:rPr>
          <w:rFonts w:ascii="Times New Roman" w:hAnsi="Times New Roman" w:cs="Times New Roman"/>
          <w:bCs/>
        </w:rPr>
      </w:pPr>
      <w:r w:rsidRPr="00D458EF">
        <w:rPr>
          <w:rFonts w:ascii="Times New Roman" w:hAnsi="Times New Roman" w:cs="Times New Roman"/>
          <w:bCs/>
        </w:rPr>
        <w:tab/>
        <w:t xml:space="preserve">These differences in behavioral persistence translate into divergent distributions of flood risk and financial burdens across tenure groups. Despite being exposed to identical hazard sequences, homeowners and renters experience markedly different long-term outcomes. Homeowners consistently incur higher per-household flood damage and financial costs, reflecting the accumulation of losses during severe flood years, while renters experience lower absolute damage but a persistently higher share of uninsured losses. </w:t>
      </w:r>
      <w:r w:rsidRPr="00D458EF">
        <w:rPr>
          <w:rFonts w:ascii="Times New Roman" w:hAnsi="Times New Roman" w:cs="Times New Roman"/>
        </w:rPr>
        <w:t>This pattern underscores that uninsured exposure is not necessarily proportional to damage severity, but instead reflects structural differences in access to and continuity of financial protection</w:t>
      </w:r>
      <w:r w:rsidR="00175542" w:rsidRPr="00D458EF">
        <w:rPr>
          <w:rFonts w:ascii="Times New Roman" w:hAnsi="Times New Roman" w:cs="Times New Roman"/>
          <w:b/>
          <w:bCs/>
        </w:rPr>
        <w:t xml:space="preserve"> </w:t>
      </w:r>
      <w:r w:rsidR="00E36481" w:rsidRPr="00D458EF">
        <w:rPr>
          <w:rFonts w:ascii="Times New Roman" w:hAnsi="Times New Roman" w:cs="Times New Roman"/>
          <w:b/>
          <w:bCs/>
        </w:rPr>
        <w:fldChar w:fldCharType="begin"/>
      </w:r>
      <w:r w:rsidR="00D60DBA">
        <w:rPr>
          <w:rFonts w:ascii="Times New Roman" w:hAnsi="Times New Roman" w:cs="Times New Roman"/>
          <w:b/>
          <w:bCs/>
        </w:rPr>
        <w:instrText xml:space="preserve"> ADDIN ZOTERO_ITEM CSL_CITATION {"citationID":"Udb5yvYC","properties":{"formattedCitation":"(Choi et al., 2024; Kousky &amp; Wiley, 2022)","plainCitation":"(Choi et al., 2024; Kousky &amp; Wiley, 2022)","noteIndex":0},"citationItems":[{"id":"NkoeHmjM/38eNP3rJ","uris":["http://zotero.org/users/14772686/items/CCP4QFXD"],"itemData":{"id":1850,"type":"article-journal","abstract":"Despite increasing exposure to flooding and associated financial damages, estimates suggest more than two-thirds of flood-exposed properties are currently uninsured. This low adoption rate could undermine the climate resilience of communities and weaken the financial solvency of the United States National Flood Insurance Program. We study whether repeated exposure to flood events, especially the disaster-scale floods that are expected to become more frequent in a warming climate, could spur insurance adoption. Using improved estimates of residential insurance take-up in locations where such insurance is voluntary, and exploiting variation in the frequency and severity of flood events over time, we quantify how flood events impact local insurance demand. We find that a flood disaster declaration in a given year increases the take-up rate of insurance by 7% in the following year, but that the effect diminishes in subsequent years and is gone after 5 years. This effect is more short-lived in counties in inland states that do not border the Gulf and Atlantic coasts. We also find that the effect of a flood on take-up is substantially larger if there was also a flood in the previous year, and that recent disasters are more salient for homeowners whose primary residences are exposed to a disaster declaration compared to non-primary residences. Overall, these findings suggest that relying on households to self-adapt to increasing flood risks in a changing climate is insufficient for closing the insurance protection gap.","container-title":"Earth's Future","DOI":"10.1029/2023EF004110","ISSN":"2328-4277","issue":"7","language":"en","license":"© 2024. The Author(s).","note":"_eprint: https://agupubs.onlinelibrary.wiley.com/doi/pdf/10.1029/2023EF004110","page":"e2023EF004110","source":"Wiley Online Library","title":"The Effect of Flood Exposure on Insurance Adoption Among US Households","volume":"12","author":[{"family":"Choi","given":"June"},{"family":"Diffenbaugh","given":"Noah S."},{"family":"Burke","given":"Marshall"}],"issued":{"date-parts":[["2024"]]}}},{"id":3008,"uris":["http://zotero.org/users/14772686/items/MBBNFJA6"],"itemData":{"id":3008,"type":"report","publisher":"Environmental Defense Fund","title":"Improving the Post-Flood Financial Resilience of Lower-Income Households through Insurance","URL":"https://www.edf.org/sites/default/files/2022-09/Improving-LMI-Household-Flood-Insurance-Options_Issue-Brief.pdf","author":[{"family":"Kousky","given":"Carolyn"},{"family":"Wiley","given":"Helen"}],"issued":{"date-parts":[["2022"]]}}}],"schema":"https://github.com/citation-style-language/schema/raw/master/csl-citation.json"} </w:instrText>
      </w:r>
      <w:r w:rsidR="00E36481" w:rsidRPr="00D458EF">
        <w:rPr>
          <w:rFonts w:ascii="Times New Roman" w:hAnsi="Times New Roman" w:cs="Times New Roman"/>
          <w:b/>
          <w:bCs/>
        </w:rPr>
        <w:fldChar w:fldCharType="separate"/>
      </w:r>
      <w:r w:rsidR="00E36481" w:rsidRPr="00D458EF">
        <w:rPr>
          <w:rFonts w:ascii="Times New Roman" w:hAnsi="Times New Roman" w:cs="Times New Roman"/>
        </w:rPr>
        <w:t>(Choi et al., 2024; Kousky &amp; Wiley, 2022)</w:t>
      </w:r>
      <w:r w:rsidR="00E36481" w:rsidRPr="00D458EF">
        <w:rPr>
          <w:rFonts w:ascii="Times New Roman" w:hAnsi="Times New Roman" w:cs="Times New Roman"/>
          <w:b/>
          <w:bCs/>
        </w:rPr>
        <w:fldChar w:fldCharType="end"/>
      </w:r>
      <w:r w:rsidRPr="00D458EF">
        <w:rPr>
          <w:rFonts w:ascii="Times New Roman" w:hAnsi="Times New Roman" w:cs="Times New Roman"/>
          <w:b/>
          <w:bCs/>
        </w:rPr>
        <w:t>.</w:t>
      </w:r>
      <w:r w:rsidRPr="00D458EF">
        <w:rPr>
          <w:rFonts w:ascii="Times New Roman" w:hAnsi="Times New Roman" w:cs="Times New Roman"/>
          <w:bCs/>
        </w:rPr>
        <w:t xml:space="preserve"> </w:t>
      </w:r>
      <w:r w:rsidR="0009053B" w:rsidRPr="00D458EF">
        <w:rPr>
          <w:rFonts w:ascii="Times New Roman" w:hAnsi="Times New Roman" w:cs="Times New Roman"/>
          <w:bCs/>
        </w:rPr>
        <w:t>A</w:t>
      </w:r>
      <w:r w:rsidRPr="00D458EF">
        <w:rPr>
          <w:rFonts w:ascii="Times New Roman" w:hAnsi="Times New Roman" w:cs="Times New Roman"/>
          <w:bCs/>
        </w:rPr>
        <w:t xml:space="preserve">t the system level, these results indicate that compensation-based adaptation pathways can coexist with widening </w:t>
      </w:r>
      <w:r w:rsidRPr="00D458EF">
        <w:rPr>
          <w:rFonts w:ascii="Times New Roman" w:hAnsi="Times New Roman" w:cs="Times New Roman"/>
          <w:bCs/>
        </w:rPr>
        <w:lastRenderedPageBreak/>
        <w:t xml:space="preserve">disparities in residual risk, particularly when sustained adaptation is uneven across tenure groups. </w:t>
      </w:r>
      <w:r w:rsidRPr="00D458EF">
        <w:rPr>
          <w:rFonts w:ascii="Times New Roman" w:hAnsi="Times New Roman" w:cs="Times New Roman"/>
        </w:rPr>
        <w:t>Similar tenure-based disparities in disaster impacts and recovery capacity have been documented in studies of social vulnerability and housing tenure in flood-prone communities</w:t>
      </w:r>
      <w:r w:rsidR="00E36481" w:rsidRPr="00D458EF">
        <w:rPr>
          <w:rFonts w:ascii="Times New Roman" w:hAnsi="Times New Roman" w:cs="Times New Roman"/>
          <w:b/>
          <w:bCs/>
        </w:rPr>
        <w:t xml:space="preserve"> </w:t>
      </w:r>
      <w:r w:rsidR="00232AD5" w:rsidRPr="00D458EF">
        <w:rPr>
          <w:rFonts w:ascii="Times New Roman" w:hAnsi="Times New Roman" w:cs="Times New Roman"/>
          <w:b/>
          <w:bCs/>
        </w:rPr>
        <w:fldChar w:fldCharType="begin"/>
      </w:r>
      <w:r w:rsidR="00005EB0">
        <w:rPr>
          <w:rFonts w:ascii="Times New Roman" w:hAnsi="Times New Roman" w:cs="Times New Roman"/>
          <w:b/>
          <w:bCs/>
        </w:rPr>
        <w:instrText xml:space="preserve"> ADDIN ZOTERO_ITEM CSL_CITATION {"citationID":"yz9WyTZR","properties":{"formattedCitation":"(Lee &amp; Van Zandt, 2019; Shcheglovitova &amp; Lee, 2024; Wilson et al., 2021)","plainCitation":"(Lee &amp; Van Zandt, 2019; Shcheglovitova &amp; Lee, 2024; Wilson et al., 2021)","noteIndex":0},"citationItems":[{"id":"NkoeHmjM/vUj9qsmP","uris":["http://zotero.org/users/14772686/items/5TLU6J9N"],"itemData":{"id":"NkoeHmjM/vUj9qsmP","type":"article-journal","abstract":"As a group, renters experience a broader range of housing problems than do owners, and disasters worsen these problems. Yet to date, housing tenure has been relatively understudied compared to other vulnerability characteristics. This review addresses the differences in housing needs faced by renters and owners during and after a disaster. It examines variation between renters and owners, recent studies of a disaster’s impacts on each group by disaster phase, and disaster-related housing policies and programs. This research explores significant questions related to the housing needs of renters in times of disaster, yielding important insights for policy makers and local planners.","container-title":"Journal of Planning Literature","DOI":"10.1177/0885412218812080","ISSN":"0885-4122","issue":"2","language":"EN","page":"156-170","publisher":"SAGE Publications Inc","source":"SAGE Journals","title":"Housing Tenure and Social Vulnerability to Disasters: A Review of the Evidence","title-short":"Housing Tenure and Social Vulnerability to Disasters","volume":"34","author":[{"family":"Lee","given":"Jee Young"},{"family":"Van Zandt","given":"Shannon"}],"issued":{"date-parts":[["2019",5,1]]}}},{"id":"NkoeHmjM/agnHQq1R","uris":["http://zotero.org/users/14772686/items/AUH5DE9G"],"itemData":{"id":2938,"type":"article-journal","container-title":"Cityscape","issue":"1","page":"35–60","publisher":"U.S. Department of Housing and Urban Development","title":"Merging Federal Flooding and Housing Data to Gain Insight into Flood Impacts on Federally Assisted Households","volume":"26","author":[{"family":"Shcheglovitova","given":"Mariya"},{"family":"Lee","given":"Gina"}],"issued":{"date-parts":[["2024"]]}}},{"id":3013,"uris":["http://zotero.org/users/14772686/items/LPUPVJD9"],"itemData":{"id":3013,"type":"article-journal","container-title":"Frontiers in Water","DOI":"10.3389/frwa.2021.752307","page":"752307","title":"Flood Recovery Outcomes and Disaster Assistance Barriers for Vulnerable Populations","volume":"3","author":[{"family":"Wilson","given":"Bradley"},{"family":"Tate","given":"Eric"},{"family":"Emrich","given":"Christopher T."}],"issued":{"date-parts":[["2021"]]}}}],"schema":"https://github.com/citation-style-language/schema/raw/master/csl-citation.json"} </w:instrText>
      </w:r>
      <w:r w:rsidR="00232AD5" w:rsidRPr="00D458EF">
        <w:rPr>
          <w:rFonts w:ascii="Times New Roman" w:hAnsi="Times New Roman" w:cs="Times New Roman"/>
          <w:b/>
          <w:bCs/>
        </w:rPr>
        <w:fldChar w:fldCharType="separate"/>
      </w:r>
      <w:r w:rsidR="00005EB0" w:rsidRPr="00005EB0">
        <w:rPr>
          <w:rFonts w:ascii="Times New Roman" w:hAnsi="Times New Roman" w:cs="Times New Roman"/>
        </w:rPr>
        <w:t xml:space="preserve">(Lee &amp; Van Zandt, 2019; </w:t>
      </w:r>
      <w:proofErr w:type="spellStart"/>
      <w:r w:rsidR="00005EB0" w:rsidRPr="00005EB0">
        <w:rPr>
          <w:rFonts w:ascii="Times New Roman" w:hAnsi="Times New Roman" w:cs="Times New Roman"/>
        </w:rPr>
        <w:t>Shcheglovitova</w:t>
      </w:r>
      <w:proofErr w:type="spellEnd"/>
      <w:r w:rsidR="00005EB0" w:rsidRPr="00005EB0">
        <w:rPr>
          <w:rFonts w:ascii="Times New Roman" w:hAnsi="Times New Roman" w:cs="Times New Roman"/>
        </w:rPr>
        <w:t xml:space="preserve"> &amp; Lee, 2024; Wilson et al., 2021)</w:t>
      </w:r>
      <w:r w:rsidR="00232AD5" w:rsidRPr="00D458EF">
        <w:rPr>
          <w:rFonts w:ascii="Times New Roman" w:hAnsi="Times New Roman" w:cs="Times New Roman"/>
          <w:b/>
          <w:bCs/>
        </w:rPr>
        <w:fldChar w:fldCharType="end"/>
      </w:r>
    </w:p>
    <w:p w14:paraId="06515B53" w14:textId="77777777" w:rsidR="00AD2591" w:rsidRPr="00D458EF" w:rsidRDefault="00AD2591" w:rsidP="005A3846">
      <w:pPr>
        <w:spacing w:line="360" w:lineRule="auto"/>
        <w:jc w:val="both"/>
        <w:rPr>
          <w:rFonts w:ascii="Times New Roman" w:hAnsi="Times New Roman" w:cs="Times New Roman"/>
          <w:b/>
        </w:rPr>
      </w:pPr>
    </w:p>
    <w:p w14:paraId="0E850F1A" w14:textId="6C590B98" w:rsidR="00346692" w:rsidRPr="00D458EF" w:rsidRDefault="00346692" w:rsidP="005A3846">
      <w:pPr>
        <w:pStyle w:val="a3"/>
        <w:numPr>
          <w:ilvl w:val="0"/>
          <w:numId w:val="38"/>
        </w:numPr>
        <w:spacing w:line="360" w:lineRule="auto"/>
        <w:ind w:leftChars="0" w:left="482" w:hanging="482"/>
        <w:jc w:val="both"/>
        <w:outlineLvl w:val="1"/>
        <w:rPr>
          <w:rFonts w:ascii="Times New Roman" w:hAnsi="Times New Roman" w:cs="Times New Roman"/>
          <w:b/>
        </w:rPr>
      </w:pPr>
      <w:r w:rsidRPr="00D458EF">
        <w:rPr>
          <w:rFonts w:ascii="Times New Roman" w:hAnsi="Times New Roman" w:cs="Times New Roman"/>
          <w:b/>
        </w:rPr>
        <w:t>Limitation</w:t>
      </w:r>
    </w:p>
    <w:p w14:paraId="3F305AC7" w14:textId="77777777" w:rsidR="006C450E" w:rsidRPr="00D458EF" w:rsidRDefault="006C450E" w:rsidP="005A3846">
      <w:pPr>
        <w:pStyle w:val="a3"/>
        <w:spacing w:line="360" w:lineRule="auto"/>
        <w:ind w:leftChars="0" w:left="1440"/>
        <w:jc w:val="both"/>
        <w:rPr>
          <w:rFonts w:ascii="Times New Roman" w:hAnsi="Times New Roman" w:cs="Times New Roman"/>
          <w:b/>
        </w:rPr>
      </w:pPr>
    </w:p>
    <w:p w14:paraId="4BC4399B" w14:textId="28C9D117" w:rsidR="00AA6ADF" w:rsidRPr="00EA344F" w:rsidRDefault="004F356C" w:rsidP="005A3846">
      <w:pPr>
        <w:pStyle w:val="a3"/>
        <w:numPr>
          <w:ilvl w:val="0"/>
          <w:numId w:val="45"/>
        </w:numPr>
        <w:spacing w:line="360" w:lineRule="auto"/>
        <w:ind w:leftChars="0"/>
        <w:jc w:val="both"/>
        <w:rPr>
          <w:rFonts w:ascii="Times New Roman" w:hAnsi="Times New Roman" w:cs="Times New Roman"/>
          <w:b/>
        </w:rPr>
      </w:pPr>
      <w:r w:rsidRPr="00D458EF">
        <w:rPr>
          <w:rFonts w:ascii="Times New Roman" w:hAnsi="Times New Roman" w:cs="Times New Roman"/>
          <w:bCs/>
        </w:rPr>
        <w:t>Exposure and financial representation</w:t>
      </w:r>
    </w:p>
    <w:p w14:paraId="5D8B2BD1" w14:textId="19DC3867" w:rsidR="00AA6ADF" w:rsidRPr="00D458EF" w:rsidRDefault="00AA6ADF" w:rsidP="005A3846">
      <w:pPr>
        <w:pStyle w:val="a3"/>
        <w:spacing w:line="360" w:lineRule="auto"/>
        <w:ind w:leftChars="0" w:left="1440" w:firstLine="480"/>
        <w:jc w:val="both"/>
        <w:rPr>
          <w:rFonts w:ascii="Times New Roman" w:hAnsi="Times New Roman" w:cs="Times New Roman"/>
        </w:rPr>
      </w:pPr>
      <w:r w:rsidRPr="00D458EF">
        <w:rPr>
          <w:rFonts w:ascii="Times New Roman" w:hAnsi="Times New Roman" w:cs="Times New Roman"/>
        </w:rPr>
        <w:t>To place the results in their appropriate modeling context, several limitations should be noted. The representation of exposure and financial losses in this study is constrained by data availability and necessary abstraction. Household-level property characteristics and precise locations are not observed. As a result, RCV is synthesized, and households are not explicitly geocoded. This limits the model’s ability to capture within-tract variation in exposure, micro-scale spatial heterogeneity, and fine-grained loss differentiation. In addition, premium calculations and flood damage accounting rely on simplified functional forms rather than reproducing the full institutional complexity of insurance pricing, coverage design, and claims processes. These modeling choices are appropriate for isolating behavioral and tenure-based mechanisms, but the resulting financial outcomes should be interpreted as stylized representations rather than exact estimates of real-world insurance costs or losses.</w:t>
      </w:r>
    </w:p>
    <w:p w14:paraId="5B21446C" w14:textId="77777777" w:rsidR="00AA6ADF" w:rsidRPr="00D458EF" w:rsidRDefault="00AA6ADF" w:rsidP="005A3846">
      <w:pPr>
        <w:pStyle w:val="a3"/>
        <w:spacing w:line="360" w:lineRule="auto"/>
        <w:ind w:leftChars="0" w:left="1440"/>
        <w:jc w:val="both"/>
        <w:rPr>
          <w:rFonts w:ascii="Times New Roman" w:hAnsi="Times New Roman" w:cs="Times New Roman"/>
          <w:bCs/>
        </w:rPr>
      </w:pPr>
    </w:p>
    <w:p w14:paraId="4FCB7C87" w14:textId="008ACF82" w:rsidR="004F356C" w:rsidRPr="00D458EF" w:rsidRDefault="00AA6ADF" w:rsidP="005A3846">
      <w:pPr>
        <w:pStyle w:val="a3"/>
        <w:numPr>
          <w:ilvl w:val="0"/>
          <w:numId w:val="45"/>
        </w:numPr>
        <w:spacing w:line="360" w:lineRule="auto"/>
        <w:ind w:leftChars="0"/>
        <w:jc w:val="both"/>
        <w:rPr>
          <w:rFonts w:ascii="Times New Roman" w:hAnsi="Times New Roman" w:cs="Times New Roman"/>
          <w:bCs/>
        </w:rPr>
      </w:pPr>
      <w:r w:rsidRPr="00D458EF">
        <w:rPr>
          <w:rFonts w:ascii="Times New Roman" w:hAnsi="Times New Roman" w:cs="Times New Roman"/>
          <w:bCs/>
        </w:rPr>
        <w:t>Behavioral realism and generalizability</w:t>
      </w:r>
    </w:p>
    <w:p w14:paraId="038D2682" w14:textId="26D62B6C" w:rsidR="007F406D" w:rsidRPr="00D458EF" w:rsidRDefault="007F406D" w:rsidP="005A3846">
      <w:pPr>
        <w:pStyle w:val="a3"/>
        <w:spacing w:line="360" w:lineRule="auto"/>
        <w:ind w:leftChars="0" w:left="1440" w:firstLine="480"/>
        <w:jc w:val="both"/>
        <w:rPr>
          <w:rFonts w:ascii="Times New Roman" w:hAnsi="Times New Roman" w:cs="Times New Roman"/>
        </w:rPr>
      </w:pPr>
      <w:r w:rsidRPr="00D458EF">
        <w:rPr>
          <w:rFonts w:ascii="Times New Roman" w:hAnsi="Times New Roman" w:cs="Times New Roman"/>
        </w:rPr>
        <w:t xml:space="preserve">Beyond these structural simplifications in exposure and finance, the behavioral dynamics are also subject to scope-related limitations. Household decision rules are parameterized using survey-based measures of </w:t>
      </w:r>
      <w:proofErr w:type="gramStart"/>
      <w:r w:rsidRPr="00D458EF">
        <w:rPr>
          <w:rFonts w:ascii="Times New Roman" w:hAnsi="Times New Roman" w:cs="Times New Roman"/>
        </w:rPr>
        <w:t>households’</w:t>
      </w:r>
      <w:proofErr w:type="gramEnd"/>
      <w:r w:rsidRPr="00D458EF">
        <w:rPr>
          <w:rFonts w:ascii="Times New Roman" w:hAnsi="Times New Roman" w:cs="Times New Roman"/>
        </w:rPr>
        <w:t xml:space="preserve"> stated willingness to adopt insurance or other adaptive actions. While this approach strengthens empirical grounding and allows behavioral heterogeneity to be incorporated explicitly, it also implies a gap between modeled willingness and realized behavior in practice. Actual adaptation decisions may be shaped by additional constraints, frictions, or institutional factors that are not fully captured by stated preferences alone. Moreover, the model does not represent adaptive learning beyond the specified threat perception updating mechanism, nor does it explicitly incorporate social interactions, post-disaster government assistance, or evolving policy environments. Finally, although identical hazard sequences across scenarios enable clear identification of behavioral and financial pathways, the findings should be interpreted </w:t>
      </w:r>
      <w:r w:rsidRPr="00D458EF">
        <w:rPr>
          <w:rFonts w:ascii="Times New Roman" w:hAnsi="Times New Roman" w:cs="Times New Roman"/>
        </w:rPr>
        <w:lastRenderedPageBreak/>
        <w:t>as illustrating general adaptation dynamics under social heterogeneity rather than providing directly transferable predictions across regions or institutional contexts.</w:t>
      </w:r>
    </w:p>
    <w:p w14:paraId="0F3D12E3" w14:textId="77777777" w:rsidR="006E7A6C" w:rsidRPr="00D458EF" w:rsidRDefault="006E7A6C" w:rsidP="005A3846">
      <w:pPr>
        <w:pStyle w:val="a3"/>
        <w:spacing w:line="360" w:lineRule="auto"/>
        <w:ind w:leftChars="0" w:left="1440" w:firstLine="480"/>
        <w:jc w:val="both"/>
        <w:rPr>
          <w:rFonts w:ascii="Times New Roman" w:hAnsi="Times New Roman" w:cs="Times New Roman"/>
        </w:rPr>
      </w:pPr>
    </w:p>
    <w:p w14:paraId="44C90F6C" w14:textId="75626BF0" w:rsidR="00F66BD9" w:rsidRPr="00D458EF" w:rsidRDefault="00346692" w:rsidP="005A3846">
      <w:pPr>
        <w:pStyle w:val="a3"/>
        <w:numPr>
          <w:ilvl w:val="0"/>
          <w:numId w:val="21"/>
        </w:numPr>
        <w:spacing w:line="360" w:lineRule="auto"/>
        <w:ind w:leftChars="0" w:left="357" w:hanging="357"/>
        <w:jc w:val="both"/>
        <w:outlineLvl w:val="0"/>
        <w:rPr>
          <w:rFonts w:ascii="Times New Roman" w:hAnsi="Times New Roman" w:cs="Times New Roman"/>
          <w:b/>
        </w:rPr>
      </w:pPr>
      <w:r w:rsidRPr="00D458EF">
        <w:rPr>
          <w:rFonts w:ascii="Times New Roman" w:hAnsi="Times New Roman" w:cs="Times New Roman"/>
          <w:b/>
        </w:rPr>
        <w:t>Conclusion</w:t>
      </w:r>
    </w:p>
    <w:p w14:paraId="7D3EE8CC" w14:textId="77777777" w:rsidR="00724E4F" w:rsidRDefault="00724E4F" w:rsidP="005A3846">
      <w:pPr>
        <w:pStyle w:val="a3"/>
        <w:spacing w:line="360" w:lineRule="auto"/>
        <w:ind w:leftChars="218" w:firstLine="480"/>
        <w:jc w:val="both"/>
        <w:rPr>
          <w:rFonts w:ascii="Times New Roman" w:hAnsi="Times New Roman" w:cs="Times New Roman"/>
          <w:bCs/>
        </w:rPr>
      </w:pPr>
      <w:r w:rsidRPr="00724E4F">
        <w:rPr>
          <w:rFonts w:ascii="Times New Roman" w:hAnsi="Times New Roman" w:cs="Times New Roman"/>
          <w:bCs/>
        </w:rPr>
        <w:t>This study uses a coupled agent-</w:t>
      </w:r>
      <w:proofErr w:type="gramStart"/>
      <w:r w:rsidRPr="00724E4F">
        <w:rPr>
          <w:rFonts w:ascii="Times New Roman" w:hAnsi="Times New Roman" w:cs="Times New Roman"/>
          <w:bCs/>
        </w:rPr>
        <w:t>based and</w:t>
      </w:r>
      <w:proofErr w:type="gramEnd"/>
      <w:r w:rsidRPr="00724E4F">
        <w:rPr>
          <w:rFonts w:ascii="Times New Roman" w:hAnsi="Times New Roman" w:cs="Times New Roman"/>
          <w:bCs/>
        </w:rPr>
        <w:t xml:space="preserve"> catastrophe modeling framework to examine how behavioral adaptation under social heterogeneity shapes long-term flood outcomes across renter and homeowner households. By holding hazard sequences constant across scenarios, the analysis isolates the role of behavioral and financial mechanisms in driving divergence in flood damage and losses.</w:t>
      </w:r>
    </w:p>
    <w:p w14:paraId="17414B30" w14:textId="0F635AC5" w:rsidR="00D87E3A" w:rsidRDefault="00D87E3A" w:rsidP="005A3846">
      <w:pPr>
        <w:pStyle w:val="a3"/>
        <w:spacing w:line="360" w:lineRule="auto"/>
        <w:ind w:leftChars="218" w:firstLine="480"/>
        <w:jc w:val="both"/>
        <w:rPr>
          <w:rFonts w:ascii="Times New Roman" w:hAnsi="Times New Roman" w:cs="Times New Roman"/>
          <w:bCs/>
        </w:rPr>
      </w:pPr>
      <w:r w:rsidRPr="00D87E3A">
        <w:rPr>
          <w:rFonts w:ascii="Times New Roman" w:hAnsi="Times New Roman" w:cs="Times New Roman"/>
          <w:bCs/>
        </w:rPr>
        <w:t xml:space="preserve">Consistent with the baseline and worst-case comparison, </w:t>
      </w:r>
      <w:r w:rsidR="00851273">
        <w:rPr>
          <w:rFonts w:ascii="Times New Roman" w:hAnsi="Times New Roman" w:cs="Times New Roman" w:hint="eastAsia"/>
          <w:bCs/>
        </w:rPr>
        <w:t>adaptation action</w:t>
      </w:r>
      <w:r w:rsidRPr="00D87E3A">
        <w:rPr>
          <w:rFonts w:ascii="Times New Roman" w:hAnsi="Times New Roman" w:cs="Times New Roman"/>
          <w:bCs/>
        </w:rPr>
        <w:t xml:space="preserve"> substantially reduces long-term flood damage and actual losses for both homeowners and renters, with scenario differences becoming more pronounced over time. While early-period outcomes remain similar, cumulative flood impacts diverge in later years, indicating that adaptation influences long-term trajectories rather than short-term responses alone. Importantly, improvements in financial outcomes through insurance payouts do not necessarily coincide with proportional reductions in cumulative flood damage. Differences in behavioral persistence help explain these patterns. Homeowners exhibit cumulative and durable adaptive shifts, particularly following severe flood events and in flood-prone areas, whereas renter responses are largely transient and decay within one to two years. These differences in behavioral persistence contribute to unequal long-term outcomes despite identical hazard exposure. As a result, homeowners experience higher absolute flood damage and financial costs, while renters face a persistently higher share of uninsured losses, even when overall damages decline.</w:t>
      </w:r>
    </w:p>
    <w:p w14:paraId="0A2B52CE" w14:textId="0DD09DC5" w:rsidR="0083506A" w:rsidRPr="00D458EF" w:rsidRDefault="0083506A" w:rsidP="005A3846">
      <w:pPr>
        <w:pStyle w:val="a3"/>
        <w:spacing w:line="360" w:lineRule="auto"/>
        <w:ind w:leftChars="218" w:firstLine="480"/>
        <w:jc w:val="both"/>
        <w:rPr>
          <w:rFonts w:ascii="Times New Roman" w:hAnsi="Times New Roman" w:cs="Times New Roman"/>
          <w:bCs/>
          <w:lang w:val="en-US"/>
        </w:rPr>
      </w:pPr>
      <w:r w:rsidRPr="00D458EF">
        <w:rPr>
          <w:rFonts w:ascii="Times New Roman" w:hAnsi="Times New Roman" w:cs="Times New Roman"/>
          <w:bCs/>
          <w:lang w:val="en-US"/>
        </w:rPr>
        <w:t xml:space="preserve"> Together, these findings highlight that financial compensation can expand without corresponding reductions in physical flood risk when sustained adaptation is uneven across tenure groups. The framework provides a mechanism-focused foundation for evaluating flood adaptation pathways in socially heterogeneous urban systems, emphasizing how who </w:t>
      </w:r>
      <w:r w:rsidR="00F04EE4" w:rsidRPr="00D458EF">
        <w:rPr>
          <w:rFonts w:ascii="Times New Roman" w:hAnsi="Times New Roman" w:cs="Times New Roman"/>
          <w:bCs/>
          <w:lang w:val="en-US"/>
        </w:rPr>
        <w:t xml:space="preserve">adapts, </w:t>
      </w:r>
      <w:r w:rsidRPr="00D458EF">
        <w:rPr>
          <w:rFonts w:ascii="Times New Roman" w:hAnsi="Times New Roman" w:cs="Times New Roman"/>
          <w:bCs/>
          <w:lang w:val="en-US"/>
        </w:rPr>
        <w:t>and for how long</w:t>
      </w:r>
      <w:r w:rsidR="00F04EE4" w:rsidRPr="00D458EF">
        <w:rPr>
          <w:rFonts w:ascii="Times New Roman" w:hAnsi="Times New Roman" w:cs="Times New Roman"/>
          <w:bCs/>
          <w:lang w:val="en-US"/>
        </w:rPr>
        <w:t xml:space="preserve">, </w:t>
      </w:r>
      <w:r w:rsidRPr="00D458EF">
        <w:rPr>
          <w:rFonts w:ascii="Times New Roman" w:hAnsi="Times New Roman" w:cs="Times New Roman"/>
          <w:bCs/>
          <w:lang w:val="en-US"/>
        </w:rPr>
        <w:t>matters as much as the availability of financial protection.</w:t>
      </w:r>
    </w:p>
    <w:p w14:paraId="1D078495" w14:textId="77777777" w:rsidR="003375A5" w:rsidRDefault="003375A5" w:rsidP="005B487C">
      <w:pPr>
        <w:pStyle w:val="a3"/>
        <w:spacing w:line="360" w:lineRule="auto"/>
        <w:ind w:leftChars="0" w:left="360"/>
        <w:rPr>
          <w:rFonts w:ascii="Times New Roman" w:hAnsi="Times New Roman" w:cs="Times New Roman"/>
          <w:b/>
          <w:lang w:val="en-US"/>
        </w:rPr>
      </w:pPr>
    </w:p>
    <w:p w14:paraId="6E555C58" w14:textId="70B44405" w:rsidR="003375A5" w:rsidRDefault="000410C2" w:rsidP="005B487C">
      <w:pPr>
        <w:pStyle w:val="a3"/>
        <w:spacing w:line="360" w:lineRule="auto"/>
        <w:ind w:leftChars="0" w:left="0"/>
        <w:rPr>
          <w:rFonts w:ascii="Times New Roman" w:hAnsi="Times New Roman" w:cs="Times New Roman"/>
          <w:b/>
          <w:lang w:val="en-US"/>
        </w:rPr>
      </w:pPr>
      <w:r>
        <w:rPr>
          <w:rFonts w:ascii="Times New Roman" w:hAnsi="Times New Roman" w:cs="Times New Roman" w:hint="eastAsia"/>
          <w:b/>
          <w:lang w:val="en-US"/>
        </w:rPr>
        <w:t xml:space="preserve">Appendix </w:t>
      </w:r>
      <w:r w:rsidR="00AC4F5A">
        <w:rPr>
          <w:rFonts w:ascii="Times New Roman" w:hAnsi="Times New Roman" w:cs="Times New Roman" w:hint="eastAsia"/>
          <w:b/>
          <w:lang w:val="en-US"/>
        </w:rPr>
        <w:t>A.1</w:t>
      </w:r>
    </w:p>
    <w:tbl>
      <w:tblPr>
        <w:tblStyle w:val="a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222"/>
      </w:tblGrid>
      <w:tr w:rsidR="003375A5" w:rsidRPr="00A57C18" w14:paraId="0FD657C2" w14:textId="77777777" w:rsidTr="00DD42A4">
        <w:tc>
          <w:tcPr>
            <w:tcW w:w="1418" w:type="dxa"/>
            <w:tcBorders>
              <w:top w:val="single" w:sz="4" w:space="0" w:color="auto"/>
              <w:bottom w:val="single" w:sz="4" w:space="0" w:color="auto"/>
            </w:tcBorders>
          </w:tcPr>
          <w:p w14:paraId="63486AD2" w14:textId="361862C8" w:rsidR="003375A5" w:rsidRPr="00A57C18" w:rsidRDefault="003375A5" w:rsidP="005B487C">
            <w:pPr>
              <w:rPr>
                <w:rFonts w:asciiTheme="majorBidi" w:hAnsiTheme="majorBidi" w:cstheme="majorBidi"/>
              </w:rPr>
            </w:pPr>
            <w:r w:rsidRPr="00A57C18">
              <w:rPr>
                <w:rFonts w:asciiTheme="majorBidi" w:hAnsiTheme="majorBidi" w:cstheme="majorBidi"/>
                <w:b/>
                <w:sz w:val="20"/>
              </w:rPr>
              <w:t>Acronym</w:t>
            </w:r>
          </w:p>
        </w:tc>
        <w:tc>
          <w:tcPr>
            <w:tcW w:w="7222" w:type="dxa"/>
            <w:tcBorders>
              <w:top w:val="single" w:sz="4" w:space="0" w:color="auto"/>
              <w:bottom w:val="single" w:sz="4" w:space="0" w:color="auto"/>
            </w:tcBorders>
          </w:tcPr>
          <w:p w14:paraId="6C36DD58" w14:textId="77777777" w:rsidR="003375A5" w:rsidRPr="00A57C18" w:rsidRDefault="003375A5" w:rsidP="005B487C">
            <w:pPr>
              <w:rPr>
                <w:rFonts w:asciiTheme="majorBidi" w:hAnsiTheme="majorBidi" w:cstheme="majorBidi"/>
              </w:rPr>
            </w:pPr>
            <w:r w:rsidRPr="00A57C18">
              <w:rPr>
                <w:rFonts w:asciiTheme="majorBidi" w:hAnsiTheme="majorBidi" w:cstheme="majorBidi"/>
                <w:b/>
                <w:sz w:val="20"/>
              </w:rPr>
              <w:t>Full term</w:t>
            </w:r>
          </w:p>
        </w:tc>
      </w:tr>
      <w:tr w:rsidR="003375A5" w:rsidRPr="00A57C18" w14:paraId="529EA8EA" w14:textId="77777777" w:rsidTr="00DD42A4">
        <w:tc>
          <w:tcPr>
            <w:tcW w:w="1418" w:type="dxa"/>
            <w:tcBorders>
              <w:top w:val="single" w:sz="4" w:space="0" w:color="auto"/>
            </w:tcBorders>
          </w:tcPr>
          <w:p w14:paraId="2CF15869"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ABM</w:t>
            </w:r>
          </w:p>
        </w:tc>
        <w:tc>
          <w:tcPr>
            <w:tcW w:w="7222" w:type="dxa"/>
            <w:tcBorders>
              <w:top w:val="single" w:sz="4" w:space="0" w:color="auto"/>
            </w:tcBorders>
          </w:tcPr>
          <w:p w14:paraId="41D9910E"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Agent-Based Model</w:t>
            </w:r>
          </w:p>
        </w:tc>
      </w:tr>
      <w:tr w:rsidR="003375A5" w:rsidRPr="00A57C18" w14:paraId="58541B8F" w14:textId="77777777" w:rsidTr="00DD42A4">
        <w:tc>
          <w:tcPr>
            <w:tcW w:w="1418" w:type="dxa"/>
          </w:tcPr>
          <w:p w14:paraId="2BC30940"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ACS</w:t>
            </w:r>
          </w:p>
        </w:tc>
        <w:tc>
          <w:tcPr>
            <w:tcW w:w="7222" w:type="dxa"/>
          </w:tcPr>
          <w:p w14:paraId="7446B9D5"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American Community Survey</w:t>
            </w:r>
          </w:p>
        </w:tc>
      </w:tr>
      <w:tr w:rsidR="003375A5" w:rsidRPr="00A57C18" w14:paraId="431C48ED" w14:textId="77777777" w:rsidTr="00DD42A4">
        <w:tc>
          <w:tcPr>
            <w:tcW w:w="1418" w:type="dxa"/>
          </w:tcPr>
          <w:p w14:paraId="2DB22E78"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CAT</w:t>
            </w:r>
          </w:p>
        </w:tc>
        <w:tc>
          <w:tcPr>
            <w:tcW w:w="7222" w:type="dxa"/>
          </w:tcPr>
          <w:p w14:paraId="27AD6C31"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Catastrophe Model</w:t>
            </w:r>
          </w:p>
        </w:tc>
      </w:tr>
      <w:tr w:rsidR="003375A5" w:rsidRPr="00A57C18" w14:paraId="3FB8055C" w14:textId="77777777" w:rsidTr="00DD42A4">
        <w:tc>
          <w:tcPr>
            <w:tcW w:w="1418" w:type="dxa"/>
          </w:tcPr>
          <w:p w14:paraId="114A92EF"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CP</w:t>
            </w:r>
          </w:p>
        </w:tc>
        <w:tc>
          <w:tcPr>
            <w:tcW w:w="7222" w:type="dxa"/>
          </w:tcPr>
          <w:p w14:paraId="74F3956A"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Coping Perception</w:t>
            </w:r>
          </w:p>
        </w:tc>
      </w:tr>
      <w:tr w:rsidR="003375A5" w:rsidRPr="00A57C18" w14:paraId="2582CC82" w14:textId="77777777" w:rsidTr="00DD42A4">
        <w:tc>
          <w:tcPr>
            <w:tcW w:w="1418" w:type="dxa"/>
          </w:tcPr>
          <w:p w14:paraId="11B26C06"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CSVR</w:t>
            </w:r>
          </w:p>
        </w:tc>
        <w:tc>
          <w:tcPr>
            <w:tcW w:w="7222" w:type="dxa"/>
          </w:tcPr>
          <w:p w14:paraId="04E6CE3E"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Content-to-Structure Value Ratio</w:t>
            </w:r>
          </w:p>
        </w:tc>
      </w:tr>
      <w:tr w:rsidR="003375A5" w:rsidRPr="00A57C18" w14:paraId="354A6307" w14:textId="77777777" w:rsidTr="00DD42A4">
        <w:tc>
          <w:tcPr>
            <w:tcW w:w="1418" w:type="dxa"/>
          </w:tcPr>
          <w:p w14:paraId="7AF8052B" w14:textId="4156902D" w:rsidR="003375A5" w:rsidRPr="00A57C18" w:rsidRDefault="003375A5" w:rsidP="005B487C">
            <w:pPr>
              <w:rPr>
                <w:rFonts w:asciiTheme="majorBidi" w:hAnsiTheme="majorBidi" w:cstheme="majorBidi"/>
              </w:rPr>
            </w:pPr>
            <w:r w:rsidRPr="00A57C18">
              <w:rPr>
                <w:rFonts w:asciiTheme="majorBidi" w:hAnsiTheme="majorBidi" w:cstheme="majorBidi"/>
                <w:sz w:val="20"/>
              </w:rPr>
              <w:t>F</w:t>
            </w:r>
            <w:r w:rsidR="00E90347" w:rsidRPr="00A57C18">
              <w:rPr>
                <w:rFonts w:asciiTheme="majorBidi" w:hAnsiTheme="majorBidi" w:cstheme="majorBidi"/>
                <w:sz w:val="20"/>
              </w:rPr>
              <w:t>E</w:t>
            </w:r>
            <w:r w:rsidRPr="00A57C18">
              <w:rPr>
                <w:rFonts w:asciiTheme="majorBidi" w:hAnsiTheme="majorBidi" w:cstheme="majorBidi"/>
                <w:sz w:val="20"/>
              </w:rPr>
              <w:t>MA</w:t>
            </w:r>
          </w:p>
        </w:tc>
        <w:tc>
          <w:tcPr>
            <w:tcW w:w="7222" w:type="dxa"/>
          </w:tcPr>
          <w:p w14:paraId="17EB3484" w14:textId="2C7423FC" w:rsidR="003375A5" w:rsidRPr="00A57C18" w:rsidRDefault="00A57C18" w:rsidP="005B487C">
            <w:pPr>
              <w:rPr>
                <w:rFonts w:asciiTheme="majorBidi" w:hAnsiTheme="majorBidi" w:cstheme="majorBidi"/>
              </w:rPr>
            </w:pPr>
            <w:r w:rsidRPr="00A57C18">
              <w:rPr>
                <w:rFonts w:asciiTheme="majorBidi" w:hAnsiTheme="majorBidi" w:cstheme="majorBidi"/>
                <w:bCs/>
              </w:rPr>
              <w:t>Federal Emergency Management Agency</w:t>
            </w:r>
          </w:p>
        </w:tc>
      </w:tr>
      <w:tr w:rsidR="00BF69A1" w:rsidRPr="00A57C18" w14:paraId="78053D27" w14:textId="77777777" w:rsidTr="00DD42A4">
        <w:tc>
          <w:tcPr>
            <w:tcW w:w="1418" w:type="dxa"/>
          </w:tcPr>
          <w:p w14:paraId="15B92AF7" w14:textId="23042D67" w:rsidR="00BF69A1" w:rsidRPr="00A57C18" w:rsidRDefault="00BF69A1" w:rsidP="005B487C">
            <w:pPr>
              <w:rPr>
                <w:rFonts w:asciiTheme="majorBidi" w:hAnsiTheme="majorBidi" w:cstheme="majorBidi"/>
                <w:sz w:val="20"/>
              </w:rPr>
            </w:pPr>
            <w:r>
              <w:rPr>
                <w:rFonts w:asciiTheme="majorBidi" w:hAnsiTheme="majorBidi" w:cstheme="majorBidi" w:hint="eastAsia"/>
                <w:sz w:val="20"/>
              </w:rPr>
              <w:t>HH</w:t>
            </w:r>
          </w:p>
        </w:tc>
        <w:tc>
          <w:tcPr>
            <w:tcW w:w="7222" w:type="dxa"/>
          </w:tcPr>
          <w:p w14:paraId="7BB208B7" w14:textId="74AC038A" w:rsidR="00BF69A1" w:rsidRPr="00A57C18" w:rsidRDefault="00BF69A1" w:rsidP="005B487C">
            <w:pPr>
              <w:rPr>
                <w:rFonts w:asciiTheme="majorBidi" w:hAnsiTheme="majorBidi" w:cstheme="majorBidi"/>
                <w:bCs/>
              </w:rPr>
            </w:pPr>
            <w:r>
              <w:rPr>
                <w:rFonts w:asciiTheme="majorBidi" w:hAnsiTheme="majorBidi" w:cstheme="majorBidi" w:hint="eastAsia"/>
                <w:bCs/>
              </w:rPr>
              <w:t>Household</w:t>
            </w:r>
          </w:p>
        </w:tc>
      </w:tr>
      <w:tr w:rsidR="003375A5" w:rsidRPr="00A57C18" w14:paraId="5C1ABDD5" w14:textId="77777777" w:rsidTr="00DD42A4">
        <w:tc>
          <w:tcPr>
            <w:tcW w:w="1418" w:type="dxa"/>
          </w:tcPr>
          <w:p w14:paraId="4159F238"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ICC</w:t>
            </w:r>
          </w:p>
        </w:tc>
        <w:tc>
          <w:tcPr>
            <w:tcW w:w="7222" w:type="dxa"/>
          </w:tcPr>
          <w:p w14:paraId="32AE19A6"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Increased Cost of Compliance</w:t>
            </w:r>
          </w:p>
        </w:tc>
      </w:tr>
      <w:tr w:rsidR="003375A5" w:rsidRPr="00A57C18" w14:paraId="122AD07D" w14:textId="77777777" w:rsidTr="00DD42A4">
        <w:tc>
          <w:tcPr>
            <w:tcW w:w="1418" w:type="dxa"/>
          </w:tcPr>
          <w:p w14:paraId="08F18DFE"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lastRenderedPageBreak/>
              <w:t>IPCC</w:t>
            </w:r>
          </w:p>
        </w:tc>
        <w:tc>
          <w:tcPr>
            <w:tcW w:w="7222" w:type="dxa"/>
          </w:tcPr>
          <w:p w14:paraId="35E0F52F"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Intergovernmental Panel on Climate Change</w:t>
            </w:r>
          </w:p>
        </w:tc>
      </w:tr>
      <w:tr w:rsidR="003375A5" w:rsidRPr="00A57C18" w14:paraId="3637CFDE" w14:textId="77777777" w:rsidTr="00DD42A4">
        <w:tc>
          <w:tcPr>
            <w:tcW w:w="1418" w:type="dxa"/>
          </w:tcPr>
          <w:p w14:paraId="726A8D34"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MG</w:t>
            </w:r>
          </w:p>
        </w:tc>
        <w:tc>
          <w:tcPr>
            <w:tcW w:w="7222" w:type="dxa"/>
          </w:tcPr>
          <w:p w14:paraId="7CB7E778"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Marginalized Group</w:t>
            </w:r>
          </w:p>
        </w:tc>
      </w:tr>
      <w:tr w:rsidR="003375A5" w:rsidRPr="00A57C18" w14:paraId="58C6A96D" w14:textId="77777777" w:rsidTr="00DD42A4">
        <w:tc>
          <w:tcPr>
            <w:tcW w:w="1418" w:type="dxa"/>
          </w:tcPr>
          <w:p w14:paraId="162E596F"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NFIP</w:t>
            </w:r>
          </w:p>
        </w:tc>
        <w:tc>
          <w:tcPr>
            <w:tcW w:w="7222" w:type="dxa"/>
          </w:tcPr>
          <w:p w14:paraId="0B29AC61"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National Flood Insurance Program</w:t>
            </w:r>
          </w:p>
        </w:tc>
      </w:tr>
      <w:tr w:rsidR="003375A5" w:rsidRPr="00A57C18" w14:paraId="0462E5D0" w14:textId="77777777" w:rsidTr="00DD42A4">
        <w:tc>
          <w:tcPr>
            <w:tcW w:w="1418" w:type="dxa"/>
          </w:tcPr>
          <w:p w14:paraId="585EB089"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NMG</w:t>
            </w:r>
          </w:p>
        </w:tc>
        <w:tc>
          <w:tcPr>
            <w:tcW w:w="7222" w:type="dxa"/>
          </w:tcPr>
          <w:p w14:paraId="43A74DDD"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Non-Marginalized Group</w:t>
            </w:r>
          </w:p>
        </w:tc>
      </w:tr>
      <w:tr w:rsidR="003375A5" w:rsidRPr="00A57C18" w14:paraId="03D9A29D" w14:textId="77777777" w:rsidTr="00DD42A4">
        <w:tc>
          <w:tcPr>
            <w:tcW w:w="1418" w:type="dxa"/>
          </w:tcPr>
          <w:p w14:paraId="61171DD3"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NSI</w:t>
            </w:r>
          </w:p>
        </w:tc>
        <w:tc>
          <w:tcPr>
            <w:tcW w:w="7222" w:type="dxa"/>
          </w:tcPr>
          <w:p w14:paraId="4EE00982"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National Structure Inventory</w:t>
            </w:r>
          </w:p>
        </w:tc>
      </w:tr>
      <w:tr w:rsidR="003375A5" w:rsidRPr="00A57C18" w14:paraId="29C93D0D" w14:textId="77777777" w:rsidTr="00DD42A4">
        <w:tc>
          <w:tcPr>
            <w:tcW w:w="1418" w:type="dxa"/>
          </w:tcPr>
          <w:p w14:paraId="4F40011B"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ODD</w:t>
            </w:r>
          </w:p>
        </w:tc>
        <w:tc>
          <w:tcPr>
            <w:tcW w:w="7222" w:type="dxa"/>
          </w:tcPr>
          <w:p w14:paraId="657738C1"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Overview, Design Concepts, and Details</w:t>
            </w:r>
          </w:p>
        </w:tc>
      </w:tr>
      <w:tr w:rsidR="003375A5" w:rsidRPr="00A57C18" w14:paraId="3F537584" w14:textId="77777777" w:rsidTr="00DD42A4">
        <w:tc>
          <w:tcPr>
            <w:tcW w:w="1418" w:type="dxa"/>
          </w:tcPr>
          <w:p w14:paraId="2837D5A5"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OOP</w:t>
            </w:r>
          </w:p>
        </w:tc>
        <w:tc>
          <w:tcPr>
            <w:tcW w:w="7222" w:type="dxa"/>
          </w:tcPr>
          <w:p w14:paraId="010BDE15"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Out-of-Pocket</w:t>
            </w:r>
          </w:p>
        </w:tc>
      </w:tr>
      <w:tr w:rsidR="003375A5" w:rsidRPr="00A57C18" w14:paraId="30EC818A" w14:textId="77777777" w:rsidTr="00DD42A4">
        <w:tc>
          <w:tcPr>
            <w:tcW w:w="1418" w:type="dxa"/>
          </w:tcPr>
          <w:p w14:paraId="7FD01108"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PA</w:t>
            </w:r>
          </w:p>
        </w:tc>
        <w:tc>
          <w:tcPr>
            <w:tcW w:w="7222" w:type="dxa"/>
          </w:tcPr>
          <w:p w14:paraId="6C2A6188"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Place Attachment</w:t>
            </w:r>
          </w:p>
        </w:tc>
      </w:tr>
      <w:tr w:rsidR="003375A5" w:rsidRPr="00A57C18" w14:paraId="1FE71004" w14:textId="77777777" w:rsidTr="00DD42A4">
        <w:tc>
          <w:tcPr>
            <w:tcW w:w="1418" w:type="dxa"/>
          </w:tcPr>
          <w:p w14:paraId="7C324A98"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PADM</w:t>
            </w:r>
          </w:p>
        </w:tc>
        <w:tc>
          <w:tcPr>
            <w:tcW w:w="7222" w:type="dxa"/>
          </w:tcPr>
          <w:p w14:paraId="3064A3A7"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Protective Action Decision Model</w:t>
            </w:r>
          </w:p>
        </w:tc>
      </w:tr>
      <w:tr w:rsidR="003375A5" w:rsidRPr="00A57C18" w14:paraId="2E64ECF0" w14:textId="77777777" w:rsidTr="00DD42A4">
        <w:tc>
          <w:tcPr>
            <w:tcW w:w="1418" w:type="dxa"/>
          </w:tcPr>
          <w:p w14:paraId="7E5E34D4"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PMT</w:t>
            </w:r>
          </w:p>
        </w:tc>
        <w:tc>
          <w:tcPr>
            <w:tcW w:w="7222" w:type="dxa"/>
          </w:tcPr>
          <w:p w14:paraId="7F1D9EE0"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Protection Motivation Theory</w:t>
            </w:r>
          </w:p>
        </w:tc>
      </w:tr>
      <w:tr w:rsidR="003375A5" w:rsidRPr="00A57C18" w14:paraId="387F9E97" w14:textId="77777777" w:rsidTr="00DD42A4">
        <w:tc>
          <w:tcPr>
            <w:tcW w:w="1418" w:type="dxa"/>
          </w:tcPr>
          <w:p w14:paraId="70E28CE0"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PRB</w:t>
            </w:r>
          </w:p>
        </w:tc>
        <w:tc>
          <w:tcPr>
            <w:tcW w:w="7222" w:type="dxa"/>
          </w:tcPr>
          <w:p w14:paraId="3E435779"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Passaic River Basin</w:t>
            </w:r>
          </w:p>
        </w:tc>
      </w:tr>
      <w:tr w:rsidR="003375A5" w:rsidRPr="00A57C18" w14:paraId="4F9F22AC" w14:textId="77777777" w:rsidTr="00DD42A4">
        <w:tc>
          <w:tcPr>
            <w:tcW w:w="1418" w:type="dxa"/>
          </w:tcPr>
          <w:p w14:paraId="12F3D456"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RCV</w:t>
            </w:r>
          </w:p>
        </w:tc>
        <w:tc>
          <w:tcPr>
            <w:tcW w:w="7222" w:type="dxa"/>
          </w:tcPr>
          <w:p w14:paraId="2F2593AD"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Replacement Cost Value</w:t>
            </w:r>
          </w:p>
        </w:tc>
      </w:tr>
      <w:tr w:rsidR="003375A5" w:rsidRPr="00A57C18" w14:paraId="4338923B" w14:textId="77777777" w:rsidTr="00DD42A4">
        <w:tc>
          <w:tcPr>
            <w:tcW w:w="1418" w:type="dxa"/>
          </w:tcPr>
          <w:p w14:paraId="2701FD9F"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SC</w:t>
            </w:r>
          </w:p>
        </w:tc>
        <w:tc>
          <w:tcPr>
            <w:tcW w:w="7222" w:type="dxa"/>
          </w:tcPr>
          <w:p w14:paraId="126B8E23"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Social Capital</w:t>
            </w:r>
          </w:p>
        </w:tc>
      </w:tr>
      <w:tr w:rsidR="003375A5" w:rsidRPr="00A57C18" w14:paraId="170327CE" w14:textId="77777777" w:rsidTr="00DD42A4">
        <w:tc>
          <w:tcPr>
            <w:tcW w:w="1418" w:type="dxa"/>
          </w:tcPr>
          <w:p w14:paraId="6C4EC024"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SP</w:t>
            </w:r>
          </w:p>
        </w:tc>
        <w:tc>
          <w:tcPr>
            <w:tcW w:w="7222" w:type="dxa"/>
          </w:tcPr>
          <w:p w14:paraId="242E15B3"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Stakeholder Perception</w:t>
            </w:r>
          </w:p>
        </w:tc>
      </w:tr>
      <w:tr w:rsidR="003375A5" w:rsidRPr="00A57C18" w14:paraId="689E0A01" w14:textId="77777777" w:rsidTr="00DD42A4">
        <w:tc>
          <w:tcPr>
            <w:tcW w:w="1418" w:type="dxa"/>
          </w:tcPr>
          <w:p w14:paraId="6F1AD104"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SQ1</w:t>
            </w:r>
          </w:p>
        </w:tc>
        <w:tc>
          <w:tcPr>
            <w:tcW w:w="7222" w:type="dxa"/>
          </w:tcPr>
          <w:p w14:paraId="72D175B8"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Scientific Question 1</w:t>
            </w:r>
          </w:p>
        </w:tc>
      </w:tr>
      <w:tr w:rsidR="003375A5" w:rsidRPr="00A57C18" w14:paraId="2B256E8E" w14:textId="77777777" w:rsidTr="00DD42A4">
        <w:tc>
          <w:tcPr>
            <w:tcW w:w="1418" w:type="dxa"/>
          </w:tcPr>
          <w:p w14:paraId="11F2B370"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SQ2</w:t>
            </w:r>
          </w:p>
        </w:tc>
        <w:tc>
          <w:tcPr>
            <w:tcW w:w="7222" w:type="dxa"/>
          </w:tcPr>
          <w:p w14:paraId="26DA98D2"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Scientific Question 2</w:t>
            </w:r>
          </w:p>
        </w:tc>
      </w:tr>
      <w:tr w:rsidR="003375A5" w:rsidRPr="00A57C18" w14:paraId="29526BA1" w14:textId="77777777" w:rsidTr="00DD42A4">
        <w:tc>
          <w:tcPr>
            <w:tcW w:w="1418" w:type="dxa"/>
          </w:tcPr>
          <w:p w14:paraId="560F1540"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SQ3</w:t>
            </w:r>
          </w:p>
        </w:tc>
        <w:tc>
          <w:tcPr>
            <w:tcW w:w="7222" w:type="dxa"/>
          </w:tcPr>
          <w:p w14:paraId="1BAF2606"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Scientific Question 3</w:t>
            </w:r>
          </w:p>
        </w:tc>
      </w:tr>
      <w:tr w:rsidR="003375A5" w:rsidRPr="00A57C18" w14:paraId="5EAB6FE9" w14:textId="77777777" w:rsidTr="00DD42A4">
        <w:tc>
          <w:tcPr>
            <w:tcW w:w="1418" w:type="dxa"/>
          </w:tcPr>
          <w:p w14:paraId="6C9C1D69"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TP</w:t>
            </w:r>
          </w:p>
        </w:tc>
        <w:tc>
          <w:tcPr>
            <w:tcW w:w="7222" w:type="dxa"/>
          </w:tcPr>
          <w:p w14:paraId="3C212594"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Threat Perception</w:t>
            </w:r>
          </w:p>
        </w:tc>
      </w:tr>
      <w:tr w:rsidR="003375A5" w:rsidRPr="00A57C18" w14:paraId="52EC572E" w14:textId="77777777" w:rsidTr="00DD42A4">
        <w:tc>
          <w:tcPr>
            <w:tcW w:w="1418" w:type="dxa"/>
          </w:tcPr>
          <w:p w14:paraId="71F132FB"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USD</w:t>
            </w:r>
          </w:p>
        </w:tc>
        <w:tc>
          <w:tcPr>
            <w:tcW w:w="7222" w:type="dxa"/>
          </w:tcPr>
          <w:p w14:paraId="4D3DB241" w14:textId="77777777" w:rsidR="003375A5" w:rsidRPr="00A57C18" w:rsidRDefault="003375A5" w:rsidP="005B487C">
            <w:pPr>
              <w:rPr>
                <w:rFonts w:asciiTheme="majorBidi" w:hAnsiTheme="majorBidi" w:cstheme="majorBidi"/>
              </w:rPr>
            </w:pPr>
            <w:r w:rsidRPr="00A57C18">
              <w:rPr>
                <w:rFonts w:asciiTheme="majorBidi" w:hAnsiTheme="majorBidi" w:cstheme="majorBidi"/>
                <w:sz w:val="20"/>
              </w:rPr>
              <w:t>U.S. Dollars</w:t>
            </w:r>
          </w:p>
        </w:tc>
      </w:tr>
    </w:tbl>
    <w:p w14:paraId="2F2424F0" w14:textId="77777777" w:rsidR="00DD42A4" w:rsidRDefault="00DD42A4" w:rsidP="005B487C"/>
    <w:p w14:paraId="48D323E0" w14:textId="77777777" w:rsidR="00AC4F5A" w:rsidRDefault="00AC4F5A" w:rsidP="005B487C">
      <w:pPr>
        <w:pStyle w:val="a3"/>
        <w:spacing w:line="360" w:lineRule="auto"/>
        <w:ind w:leftChars="0" w:left="360"/>
        <w:rPr>
          <w:rFonts w:ascii="Times New Roman" w:hAnsi="Times New Roman" w:cs="Times New Roman"/>
          <w:b/>
          <w:lang w:val="en-US"/>
        </w:rPr>
      </w:pPr>
    </w:p>
    <w:p w14:paraId="6B6D67B9" w14:textId="77777777" w:rsidR="00F17CC1" w:rsidRPr="00F17CC1" w:rsidRDefault="00F17CC1" w:rsidP="005B487C">
      <w:pPr>
        <w:spacing w:line="360" w:lineRule="auto"/>
        <w:outlineLvl w:val="0"/>
        <w:rPr>
          <w:rFonts w:ascii="Times New Roman" w:hAnsi="Times New Roman" w:cs="Times New Roman"/>
          <w:b/>
        </w:rPr>
      </w:pPr>
      <w:r w:rsidRPr="00F17CC1">
        <w:rPr>
          <w:rFonts w:ascii="Times New Roman" w:hAnsi="Times New Roman" w:cs="Times New Roman"/>
          <w:b/>
        </w:rPr>
        <w:t>Declaration of Competing Interest</w:t>
      </w:r>
    </w:p>
    <w:p w14:paraId="5F31084F" w14:textId="77777777" w:rsidR="00F17CC1" w:rsidRPr="00F17CC1" w:rsidRDefault="00F17CC1" w:rsidP="005B487C">
      <w:pPr>
        <w:spacing w:line="360" w:lineRule="auto"/>
        <w:rPr>
          <w:rFonts w:ascii="Times New Roman" w:hAnsi="Times New Roman" w:cs="Times New Roman"/>
          <w:bCs/>
        </w:rPr>
      </w:pPr>
      <w:r w:rsidRPr="00F17CC1">
        <w:rPr>
          <w:rFonts w:ascii="Times New Roman" w:hAnsi="Times New Roman" w:cs="Times New Roman"/>
          <w:bCs/>
        </w:rPr>
        <w:t>The authors declare that they have no known competing financial interests or personal relationships that could have appeared to influence the work reported in this paper.</w:t>
      </w:r>
    </w:p>
    <w:p w14:paraId="7718B24F" w14:textId="77777777" w:rsidR="00F17CC1" w:rsidRPr="00F17CC1" w:rsidRDefault="00F17CC1" w:rsidP="005B487C">
      <w:pPr>
        <w:spacing w:line="360" w:lineRule="auto"/>
        <w:rPr>
          <w:rFonts w:ascii="Times New Roman" w:hAnsi="Times New Roman" w:cs="Times New Roman"/>
          <w:bCs/>
        </w:rPr>
      </w:pPr>
    </w:p>
    <w:p w14:paraId="097D8B52" w14:textId="77777777" w:rsidR="00F17CC1" w:rsidRPr="00F17CC1" w:rsidRDefault="00F17CC1" w:rsidP="005B487C">
      <w:pPr>
        <w:spacing w:line="360" w:lineRule="auto"/>
        <w:outlineLvl w:val="0"/>
        <w:rPr>
          <w:rFonts w:ascii="Times New Roman" w:hAnsi="Times New Roman" w:cs="Times New Roman"/>
          <w:b/>
        </w:rPr>
      </w:pPr>
      <w:r w:rsidRPr="00F17CC1">
        <w:rPr>
          <w:rFonts w:ascii="Times New Roman" w:hAnsi="Times New Roman" w:cs="Times New Roman"/>
          <w:b/>
        </w:rPr>
        <w:t>Data availability</w:t>
      </w:r>
    </w:p>
    <w:p w14:paraId="01238BCB" w14:textId="22E15175" w:rsidR="00F17CC1" w:rsidRPr="00F335ED" w:rsidRDefault="00F335ED" w:rsidP="005B487C">
      <w:pPr>
        <w:spacing w:line="360" w:lineRule="auto"/>
        <w:rPr>
          <w:rFonts w:ascii="Times New Roman" w:hAnsi="Times New Roman" w:cs="Times New Roman"/>
          <w:bCs/>
          <w:lang w:val="en-US"/>
        </w:rPr>
      </w:pPr>
      <w:r w:rsidRPr="00F335ED">
        <w:rPr>
          <w:rFonts w:ascii="Times New Roman" w:hAnsi="Times New Roman" w:cs="Times New Roman"/>
          <w:bCs/>
        </w:rPr>
        <w:t>Data will be made available on request.</w:t>
      </w:r>
    </w:p>
    <w:p w14:paraId="4BB69814" w14:textId="77777777" w:rsidR="00F17CC1" w:rsidRPr="00F17CC1" w:rsidRDefault="00F17CC1" w:rsidP="005B487C">
      <w:pPr>
        <w:spacing w:line="360" w:lineRule="auto"/>
        <w:outlineLvl w:val="0"/>
        <w:rPr>
          <w:rFonts w:ascii="Times New Roman" w:hAnsi="Times New Roman" w:cs="Times New Roman"/>
          <w:b/>
        </w:rPr>
      </w:pPr>
      <w:r w:rsidRPr="00F17CC1">
        <w:rPr>
          <w:rFonts w:ascii="Times New Roman" w:hAnsi="Times New Roman" w:cs="Times New Roman"/>
          <w:b/>
        </w:rPr>
        <w:t>Acknowledgements</w:t>
      </w:r>
    </w:p>
    <w:p w14:paraId="66C81608" w14:textId="77777777" w:rsidR="00EF10A3" w:rsidRPr="00F17CC1" w:rsidRDefault="00EF10A3" w:rsidP="005B487C">
      <w:pPr>
        <w:pStyle w:val="a3"/>
        <w:spacing w:line="360" w:lineRule="auto"/>
        <w:ind w:leftChars="0" w:left="360"/>
        <w:rPr>
          <w:rFonts w:ascii="Times New Roman" w:hAnsi="Times New Roman" w:cs="Times New Roman"/>
          <w:b/>
        </w:rPr>
      </w:pPr>
    </w:p>
    <w:p w14:paraId="043BAC85" w14:textId="4E7DC2CA" w:rsidR="00DA33CB" w:rsidRPr="00D458EF" w:rsidRDefault="00DA33CB" w:rsidP="005B487C">
      <w:pPr>
        <w:spacing w:line="360" w:lineRule="auto"/>
        <w:outlineLvl w:val="0"/>
        <w:rPr>
          <w:rFonts w:ascii="Times New Roman" w:hAnsi="Times New Roman" w:cs="Times New Roman"/>
          <w:b/>
        </w:rPr>
      </w:pPr>
      <w:r w:rsidRPr="00D458EF">
        <w:rPr>
          <w:rFonts w:ascii="Times New Roman" w:hAnsi="Times New Roman" w:cs="Times New Roman"/>
          <w:b/>
        </w:rPr>
        <w:t>Reference</w:t>
      </w:r>
      <w:r w:rsidR="00F17CC1">
        <w:rPr>
          <w:rFonts w:ascii="Times New Roman" w:hAnsi="Times New Roman" w:cs="Times New Roman" w:hint="eastAsia"/>
          <w:b/>
        </w:rPr>
        <w:t>s</w:t>
      </w:r>
    </w:p>
    <w:p w14:paraId="1C235971" w14:textId="77777777" w:rsidR="00005EB0" w:rsidRPr="00271330" w:rsidRDefault="004545FE" w:rsidP="00005EB0">
      <w:pPr>
        <w:pStyle w:val="ac"/>
        <w:rPr>
          <w:rFonts w:asciiTheme="majorBidi" w:hAnsiTheme="majorBidi" w:cstheme="majorBidi"/>
        </w:rPr>
      </w:pPr>
      <w:r w:rsidRPr="00271330">
        <w:rPr>
          <w:rFonts w:asciiTheme="majorBidi" w:hAnsiTheme="majorBidi" w:cstheme="majorBidi"/>
          <w:bCs/>
        </w:rPr>
        <w:fldChar w:fldCharType="begin"/>
      </w:r>
      <w:r w:rsidR="00EF10A3" w:rsidRPr="00271330">
        <w:rPr>
          <w:rFonts w:asciiTheme="majorBidi" w:hAnsiTheme="majorBidi" w:cstheme="majorBidi"/>
          <w:bCs/>
        </w:rPr>
        <w:instrText xml:space="preserve"> ADDIN ZOTERO_BIBL {"uncited":[],"omitted":[],"custom":[]} CSL_BIBLIOGRAPHY </w:instrText>
      </w:r>
      <w:r w:rsidRPr="00271330">
        <w:rPr>
          <w:rFonts w:asciiTheme="majorBidi" w:hAnsiTheme="majorBidi" w:cstheme="majorBidi"/>
          <w:bCs/>
        </w:rPr>
        <w:fldChar w:fldCharType="separate"/>
      </w:r>
      <w:r w:rsidR="00005EB0" w:rsidRPr="00271330">
        <w:rPr>
          <w:rFonts w:asciiTheme="majorBidi" w:hAnsiTheme="majorBidi" w:cstheme="majorBidi"/>
        </w:rPr>
        <w:t xml:space="preserve">Borsky, S., &amp; Hennighausen, H. (2022). Public Flood Risk Mitigation and the Homeowner’s Insurance Demand Response. </w:t>
      </w:r>
      <w:r w:rsidR="00005EB0" w:rsidRPr="00271330">
        <w:rPr>
          <w:rFonts w:asciiTheme="majorBidi" w:hAnsiTheme="majorBidi" w:cstheme="majorBidi"/>
          <w:i/>
          <w:iCs/>
        </w:rPr>
        <w:t>Land Economics</w:t>
      </w:r>
      <w:r w:rsidR="00005EB0" w:rsidRPr="00271330">
        <w:rPr>
          <w:rFonts w:asciiTheme="majorBidi" w:hAnsiTheme="majorBidi" w:cstheme="majorBidi"/>
        </w:rPr>
        <w:t xml:space="preserve">, </w:t>
      </w:r>
      <w:r w:rsidR="00005EB0" w:rsidRPr="00271330">
        <w:rPr>
          <w:rFonts w:asciiTheme="majorBidi" w:hAnsiTheme="majorBidi" w:cstheme="majorBidi"/>
          <w:i/>
          <w:iCs/>
        </w:rPr>
        <w:t>98</w:t>
      </w:r>
      <w:r w:rsidR="00005EB0" w:rsidRPr="00271330">
        <w:rPr>
          <w:rFonts w:asciiTheme="majorBidi" w:hAnsiTheme="majorBidi" w:cstheme="majorBidi"/>
        </w:rPr>
        <w:t>(4), 537–559. https://doi.org/10.3368/le.98.4.061720-0088R2</w:t>
      </w:r>
    </w:p>
    <w:p w14:paraId="132AF342"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Choi, J., Diffenbaugh, N. S., &amp; Burke, M. (2024). The Effect of Flood Exposure on Insurance Adoption Among US Households. </w:t>
      </w:r>
      <w:r w:rsidRPr="00271330">
        <w:rPr>
          <w:rFonts w:asciiTheme="majorBidi" w:hAnsiTheme="majorBidi" w:cstheme="majorBidi"/>
          <w:i/>
          <w:iCs/>
        </w:rPr>
        <w:t>Earth’s Future</w:t>
      </w:r>
      <w:r w:rsidRPr="00271330">
        <w:rPr>
          <w:rFonts w:asciiTheme="majorBidi" w:hAnsiTheme="majorBidi" w:cstheme="majorBidi"/>
        </w:rPr>
        <w:t xml:space="preserve">, </w:t>
      </w:r>
      <w:r w:rsidRPr="00271330">
        <w:rPr>
          <w:rFonts w:asciiTheme="majorBidi" w:hAnsiTheme="majorBidi" w:cstheme="majorBidi"/>
          <w:i/>
          <w:iCs/>
        </w:rPr>
        <w:t>12</w:t>
      </w:r>
      <w:r w:rsidRPr="00271330">
        <w:rPr>
          <w:rFonts w:asciiTheme="majorBidi" w:hAnsiTheme="majorBidi" w:cstheme="majorBidi"/>
        </w:rPr>
        <w:t>(7), e2023EF004110. https://doi.org/10.1029/2023EF004110</w:t>
      </w:r>
    </w:p>
    <w:p w14:paraId="71C2EF15"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Cutter, S. L., Boruff, B. J., &amp; Shirley, W. L. (2003). Social Vulnerability to Environmental Hazards </w:t>
      </w:r>
      <w:r w:rsidRPr="00271330">
        <w:rPr>
          <w:rFonts w:asciiTheme="majorBidi" w:hAnsiTheme="majorBidi" w:cstheme="majorBidi"/>
          <w:vertAlign w:val="superscript"/>
        </w:rPr>
        <w:t>*</w:t>
      </w:r>
      <w:r w:rsidRPr="00271330">
        <w:rPr>
          <w:rFonts w:asciiTheme="majorBidi" w:hAnsiTheme="majorBidi" w:cstheme="majorBidi"/>
        </w:rPr>
        <w:t xml:space="preserve">. </w:t>
      </w:r>
      <w:r w:rsidRPr="00271330">
        <w:rPr>
          <w:rFonts w:asciiTheme="majorBidi" w:hAnsiTheme="majorBidi" w:cstheme="majorBidi"/>
          <w:i/>
          <w:iCs/>
        </w:rPr>
        <w:t>Social Science Quarterly</w:t>
      </w:r>
      <w:r w:rsidRPr="00271330">
        <w:rPr>
          <w:rFonts w:asciiTheme="majorBidi" w:hAnsiTheme="majorBidi" w:cstheme="majorBidi"/>
        </w:rPr>
        <w:t xml:space="preserve">, </w:t>
      </w:r>
      <w:r w:rsidRPr="00271330">
        <w:rPr>
          <w:rFonts w:asciiTheme="majorBidi" w:hAnsiTheme="majorBidi" w:cstheme="majorBidi"/>
          <w:i/>
          <w:iCs/>
        </w:rPr>
        <w:t>84</w:t>
      </w:r>
      <w:r w:rsidRPr="00271330">
        <w:rPr>
          <w:rFonts w:asciiTheme="majorBidi" w:hAnsiTheme="majorBidi" w:cstheme="majorBidi"/>
        </w:rPr>
        <w:t>(2), 242–261. https://doi.org/10.1111/1540-6237.8402002</w:t>
      </w:r>
    </w:p>
    <w:p w14:paraId="5E5AFD1A"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de </w:t>
      </w:r>
      <w:proofErr w:type="spellStart"/>
      <w:r w:rsidRPr="00271330">
        <w:rPr>
          <w:rFonts w:asciiTheme="majorBidi" w:hAnsiTheme="majorBidi" w:cstheme="majorBidi"/>
        </w:rPr>
        <w:t>Ruig</w:t>
      </w:r>
      <w:proofErr w:type="spellEnd"/>
      <w:r w:rsidRPr="00271330">
        <w:rPr>
          <w:rFonts w:asciiTheme="majorBidi" w:hAnsiTheme="majorBidi" w:cstheme="majorBidi"/>
        </w:rPr>
        <w:t xml:space="preserve">, L. T., Haer, T., de Moel, H., Orton, P., </w:t>
      </w:r>
      <w:proofErr w:type="spellStart"/>
      <w:r w:rsidRPr="00271330">
        <w:rPr>
          <w:rFonts w:asciiTheme="majorBidi" w:hAnsiTheme="majorBidi" w:cstheme="majorBidi"/>
        </w:rPr>
        <w:t>Botzen</w:t>
      </w:r>
      <w:proofErr w:type="spellEnd"/>
      <w:r w:rsidRPr="00271330">
        <w:rPr>
          <w:rFonts w:asciiTheme="majorBidi" w:hAnsiTheme="majorBidi" w:cstheme="majorBidi"/>
        </w:rPr>
        <w:t xml:space="preserve">, W. J. W., &amp; Aerts, J. </w:t>
      </w:r>
      <w:proofErr w:type="gramStart"/>
      <w:r w:rsidRPr="00271330">
        <w:rPr>
          <w:rFonts w:asciiTheme="majorBidi" w:hAnsiTheme="majorBidi" w:cstheme="majorBidi"/>
        </w:rPr>
        <w:t>C. J</w:t>
      </w:r>
      <w:proofErr w:type="gramEnd"/>
      <w:r w:rsidRPr="00271330">
        <w:rPr>
          <w:rFonts w:asciiTheme="majorBidi" w:hAnsiTheme="majorBidi" w:cstheme="majorBidi"/>
        </w:rPr>
        <w:t xml:space="preserve">. H. (2023). An agent-based model for evaluating reforms of the National Flood Insurance Program: A benchmarked model applied to Jamaica Bay, NYC. </w:t>
      </w:r>
      <w:r w:rsidRPr="00271330">
        <w:rPr>
          <w:rFonts w:asciiTheme="majorBidi" w:hAnsiTheme="majorBidi" w:cstheme="majorBidi"/>
          <w:i/>
          <w:iCs/>
        </w:rPr>
        <w:t>Risk Analysis</w:t>
      </w:r>
      <w:r w:rsidRPr="00271330">
        <w:rPr>
          <w:rFonts w:asciiTheme="majorBidi" w:hAnsiTheme="majorBidi" w:cstheme="majorBidi"/>
        </w:rPr>
        <w:t xml:space="preserve">, </w:t>
      </w:r>
      <w:r w:rsidRPr="00271330">
        <w:rPr>
          <w:rFonts w:asciiTheme="majorBidi" w:hAnsiTheme="majorBidi" w:cstheme="majorBidi"/>
          <w:i/>
          <w:iCs/>
        </w:rPr>
        <w:t>43</w:t>
      </w:r>
      <w:r w:rsidRPr="00271330">
        <w:rPr>
          <w:rFonts w:asciiTheme="majorBidi" w:hAnsiTheme="majorBidi" w:cstheme="majorBidi"/>
        </w:rPr>
        <w:t>(2), 405–422. https://doi.org/10.1111/risa.13905</w:t>
      </w:r>
    </w:p>
    <w:p w14:paraId="63ACADAD"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Del Missier, F., Mäntylä, T., Hansson, P., </w:t>
      </w:r>
      <w:proofErr w:type="spellStart"/>
      <w:r w:rsidRPr="00271330">
        <w:rPr>
          <w:rFonts w:asciiTheme="majorBidi" w:hAnsiTheme="majorBidi" w:cstheme="majorBidi"/>
        </w:rPr>
        <w:t>Bruine</w:t>
      </w:r>
      <w:proofErr w:type="spellEnd"/>
      <w:r w:rsidRPr="00271330">
        <w:rPr>
          <w:rFonts w:asciiTheme="majorBidi" w:hAnsiTheme="majorBidi" w:cstheme="majorBidi"/>
        </w:rPr>
        <w:t xml:space="preserve"> de Bruin, W., Parker, A. M., &amp; Nilsson, L.-G. (2013). The multifold relationship between memory and decision making: An individual-differences study. </w:t>
      </w:r>
      <w:r w:rsidRPr="00271330">
        <w:rPr>
          <w:rFonts w:asciiTheme="majorBidi" w:hAnsiTheme="majorBidi" w:cstheme="majorBidi"/>
          <w:i/>
          <w:iCs/>
        </w:rPr>
        <w:t>Journal of Experimental Psychology: Learning, Memory, and Cognition</w:t>
      </w:r>
      <w:r w:rsidRPr="00271330">
        <w:rPr>
          <w:rFonts w:asciiTheme="majorBidi" w:hAnsiTheme="majorBidi" w:cstheme="majorBidi"/>
        </w:rPr>
        <w:t xml:space="preserve">, </w:t>
      </w:r>
      <w:r w:rsidRPr="00271330">
        <w:rPr>
          <w:rFonts w:asciiTheme="majorBidi" w:hAnsiTheme="majorBidi" w:cstheme="majorBidi"/>
          <w:i/>
          <w:iCs/>
        </w:rPr>
        <w:t>39</w:t>
      </w:r>
      <w:r w:rsidRPr="00271330">
        <w:rPr>
          <w:rFonts w:asciiTheme="majorBidi" w:hAnsiTheme="majorBidi" w:cstheme="majorBidi"/>
        </w:rPr>
        <w:t>(5), 1344–1364. https://doi.org/10.1037/a0032379</w:t>
      </w:r>
    </w:p>
    <w:p w14:paraId="728FC0E1"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Elliott, J. R., Loughran, K., &amp; Brown, P. L. (2023). Divergent Residential Pathways from Flood-Prone Areas: How Neighborhood Inequalities Are Shaping Urban Climate Adaptation. </w:t>
      </w:r>
      <w:r w:rsidRPr="00271330">
        <w:rPr>
          <w:rFonts w:asciiTheme="majorBidi" w:hAnsiTheme="majorBidi" w:cstheme="majorBidi"/>
          <w:i/>
          <w:iCs/>
        </w:rPr>
        <w:t>Social Problems</w:t>
      </w:r>
      <w:r w:rsidRPr="00271330">
        <w:rPr>
          <w:rFonts w:asciiTheme="majorBidi" w:hAnsiTheme="majorBidi" w:cstheme="majorBidi"/>
        </w:rPr>
        <w:t xml:space="preserve">, </w:t>
      </w:r>
      <w:r w:rsidRPr="00271330">
        <w:rPr>
          <w:rFonts w:asciiTheme="majorBidi" w:hAnsiTheme="majorBidi" w:cstheme="majorBidi"/>
          <w:i/>
          <w:iCs/>
        </w:rPr>
        <w:t>70</w:t>
      </w:r>
      <w:r w:rsidRPr="00271330">
        <w:rPr>
          <w:rFonts w:asciiTheme="majorBidi" w:hAnsiTheme="majorBidi" w:cstheme="majorBidi"/>
        </w:rPr>
        <w:t>(4), 869–892. https://doi.org/10.1093/socpro/spab059</w:t>
      </w:r>
    </w:p>
    <w:p w14:paraId="0FE75B52"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FEMA. (2021a). </w:t>
      </w:r>
      <w:r w:rsidRPr="00271330">
        <w:rPr>
          <w:rFonts w:asciiTheme="majorBidi" w:hAnsiTheme="majorBidi" w:cstheme="majorBidi"/>
          <w:i/>
          <w:iCs/>
        </w:rPr>
        <w:t>FEMA Risk Rating 2.0 – Equity in Action vs Old Rating Methodology: NFIP New York Rate Analysis Comparison</w:t>
      </w:r>
      <w:r w:rsidRPr="00271330">
        <w:rPr>
          <w:rFonts w:asciiTheme="majorBidi" w:hAnsiTheme="majorBidi" w:cstheme="majorBidi"/>
        </w:rPr>
        <w:t>. Federal Emergency Management Agency. https://www.fema.gov/sites/default/files/documents/fema_new-york-state-profile_04-2025.pdf</w:t>
      </w:r>
    </w:p>
    <w:p w14:paraId="39A71BB3"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FEMA. (2021b). </w:t>
      </w:r>
      <w:r w:rsidRPr="00271330">
        <w:rPr>
          <w:rFonts w:asciiTheme="majorBidi" w:hAnsiTheme="majorBidi" w:cstheme="majorBidi"/>
          <w:i/>
          <w:iCs/>
        </w:rPr>
        <w:t>National Flood Insurance Program Risk Rating 2.0: Premium Calculation Worksheet Examples</w:t>
      </w:r>
      <w:r w:rsidRPr="00271330">
        <w:rPr>
          <w:rFonts w:asciiTheme="majorBidi" w:hAnsiTheme="majorBidi" w:cstheme="majorBidi"/>
        </w:rPr>
        <w:t>. https://www.fema.gov/sites/default/files/documents/fema_risk-rating_PCW_Rating_Examples.xlsx</w:t>
      </w:r>
    </w:p>
    <w:p w14:paraId="5ADE83BC"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FEMA. (2023). </w:t>
      </w:r>
      <w:r w:rsidRPr="00271330">
        <w:rPr>
          <w:rFonts w:asciiTheme="majorBidi" w:hAnsiTheme="majorBidi" w:cstheme="majorBidi"/>
          <w:i/>
          <w:iCs/>
        </w:rPr>
        <w:t>HAZUS Inventory National Database</w:t>
      </w:r>
      <w:r w:rsidRPr="00271330">
        <w:rPr>
          <w:rFonts w:asciiTheme="majorBidi" w:hAnsiTheme="majorBidi" w:cstheme="majorBidi"/>
        </w:rPr>
        <w:t>. Federal Emergency Management Agency. https://www.fema.gov/flood-maps/products-tools/hazus</w:t>
      </w:r>
    </w:p>
    <w:p w14:paraId="257097BE"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FEMA. (2025a). </w:t>
      </w:r>
      <w:r w:rsidRPr="00271330">
        <w:rPr>
          <w:rFonts w:asciiTheme="majorBidi" w:hAnsiTheme="majorBidi" w:cstheme="majorBidi"/>
          <w:i/>
          <w:iCs/>
        </w:rPr>
        <w:t>A Brief Introduction to the National Flood Insurance Program</w:t>
      </w:r>
      <w:r w:rsidRPr="00271330">
        <w:rPr>
          <w:rFonts w:asciiTheme="majorBidi" w:hAnsiTheme="majorBidi" w:cstheme="majorBidi"/>
        </w:rPr>
        <w:t xml:space="preserve"> [Legislation]. https://www.congress.gov/crs-product/IF10988</w:t>
      </w:r>
    </w:p>
    <w:p w14:paraId="6B7A22B2"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FEMA. (2025b). </w:t>
      </w:r>
      <w:r w:rsidRPr="00271330">
        <w:rPr>
          <w:rFonts w:asciiTheme="majorBidi" w:hAnsiTheme="majorBidi" w:cstheme="majorBidi"/>
          <w:i/>
          <w:iCs/>
        </w:rPr>
        <w:t>National Flood Insurance Program Flood Insurance Manual</w:t>
      </w:r>
      <w:r w:rsidRPr="00271330">
        <w:rPr>
          <w:rFonts w:asciiTheme="majorBidi" w:hAnsiTheme="majorBidi" w:cstheme="majorBidi"/>
        </w:rPr>
        <w:t>. Federal Emergency Management Agency. https://www.fema.gov/flood-insurance-manual</w:t>
      </w:r>
    </w:p>
    <w:p w14:paraId="4791FC3A"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FEMA. (2025c). </w:t>
      </w:r>
      <w:proofErr w:type="spellStart"/>
      <w:r w:rsidRPr="00271330">
        <w:rPr>
          <w:rFonts w:asciiTheme="majorBidi" w:hAnsiTheme="majorBidi" w:cstheme="majorBidi"/>
          <w:i/>
          <w:iCs/>
        </w:rPr>
        <w:t>OpenFEMA</w:t>
      </w:r>
      <w:proofErr w:type="spellEnd"/>
      <w:r w:rsidRPr="00271330">
        <w:rPr>
          <w:rFonts w:asciiTheme="majorBidi" w:hAnsiTheme="majorBidi" w:cstheme="majorBidi"/>
          <w:i/>
          <w:iCs/>
        </w:rPr>
        <w:t xml:space="preserve"> Dataset: FIMA NFIP Redacted Policies, Version 2</w:t>
      </w:r>
      <w:r w:rsidRPr="00271330">
        <w:rPr>
          <w:rFonts w:asciiTheme="majorBidi" w:hAnsiTheme="majorBidi" w:cstheme="majorBidi"/>
        </w:rPr>
        <w:t>. https://www.fema.gov/openfema-data-page/fima-nfip-redacted-policies-v2</w:t>
      </w:r>
    </w:p>
    <w:p w14:paraId="468616C2"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Filatova, T. (2014). Market-based instruments for flood risk management: A review of theory, practice and perspectives for climate adaptation policy. </w:t>
      </w:r>
      <w:r w:rsidRPr="00271330">
        <w:rPr>
          <w:rFonts w:asciiTheme="majorBidi" w:hAnsiTheme="majorBidi" w:cstheme="majorBidi"/>
          <w:i/>
          <w:iCs/>
        </w:rPr>
        <w:t>Environmental Science &amp; Policy</w:t>
      </w:r>
      <w:r w:rsidRPr="00271330">
        <w:rPr>
          <w:rFonts w:asciiTheme="majorBidi" w:hAnsiTheme="majorBidi" w:cstheme="majorBidi"/>
        </w:rPr>
        <w:t xml:space="preserve">, </w:t>
      </w:r>
      <w:r w:rsidRPr="00271330">
        <w:rPr>
          <w:rFonts w:asciiTheme="majorBidi" w:hAnsiTheme="majorBidi" w:cstheme="majorBidi"/>
          <w:i/>
          <w:iCs/>
        </w:rPr>
        <w:t>37</w:t>
      </w:r>
      <w:r w:rsidRPr="00271330">
        <w:rPr>
          <w:rFonts w:asciiTheme="majorBidi" w:hAnsiTheme="majorBidi" w:cstheme="majorBidi"/>
        </w:rPr>
        <w:t>, 227–242. https://doi.org/10.1016/j.envsci.2013.09.005</w:t>
      </w:r>
    </w:p>
    <w:p w14:paraId="2123FA94"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Gallagher, J. (2014). Learning about an Infrequent Event: Evidence from Flood Insurance Take-Up in the United States. </w:t>
      </w:r>
      <w:r w:rsidRPr="00271330">
        <w:rPr>
          <w:rFonts w:asciiTheme="majorBidi" w:hAnsiTheme="majorBidi" w:cstheme="majorBidi"/>
          <w:i/>
          <w:iCs/>
        </w:rPr>
        <w:t>American Economic Journal: Applied Economics</w:t>
      </w:r>
      <w:r w:rsidRPr="00271330">
        <w:rPr>
          <w:rFonts w:asciiTheme="majorBidi" w:hAnsiTheme="majorBidi" w:cstheme="majorBidi"/>
        </w:rPr>
        <w:t xml:space="preserve">, </w:t>
      </w:r>
      <w:r w:rsidRPr="00271330">
        <w:rPr>
          <w:rFonts w:asciiTheme="majorBidi" w:hAnsiTheme="majorBidi" w:cstheme="majorBidi"/>
          <w:i/>
          <w:iCs/>
        </w:rPr>
        <w:t>6</w:t>
      </w:r>
      <w:r w:rsidRPr="00271330">
        <w:rPr>
          <w:rFonts w:asciiTheme="majorBidi" w:hAnsiTheme="majorBidi" w:cstheme="majorBidi"/>
        </w:rPr>
        <w:t>(3), 206–233. https://doi.org/10.1257/app.6.3.206</w:t>
      </w:r>
    </w:p>
    <w:p w14:paraId="7C50BB08"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Grimm, V., Railsback, S. F., Vincenot, C. E., Berger, U., Gallagher, C., </w:t>
      </w:r>
      <w:proofErr w:type="spellStart"/>
      <w:r w:rsidRPr="00271330">
        <w:rPr>
          <w:rFonts w:asciiTheme="majorBidi" w:hAnsiTheme="majorBidi" w:cstheme="majorBidi"/>
        </w:rPr>
        <w:t>Deangelis</w:t>
      </w:r>
      <w:proofErr w:type="spellEnd"/>
      <w:r w:rsidRPr="00271330">
        <w:rPr>
          <w:rFonts w:asciiTheme="majorBidi" w:hAnsiTheme="majorBidi" w:cstheme="majorBidi"/>
        </w:rPr>
        <w:t xml:space="preserve">, D. L., Edmonds, B., Ge, J., Giske, J., Groeneveld, J., Johnston, A. S. A., Milles, A., Nabe-Nielsen, J., Polhill, J. G., Radchuk, V., Rohwäder, M. S., Stillman, R. A., Thiele, J. C., &amp; Ayllón, D. (2020). The ODD protocol for describing agent-based and other simulation models: A second update to improve clarity, replication, and structural realism. </w:t>
      </w:r>
      <w:r w:rsidRPr="00271330">
        <w:rPr>
          <w:rFonts w:asciiTheme="majorBidi" w:hAnsiTheme="majorBidi" w:cstheme="majorBidi"/>
          <w:i/>
          <w:iCs/>
        </w:rPr>
        <w:t>Journal of Artificial Societies and Social Simulation</w:t>
      </w:r>
      <w:r w:rsidRPr="00271330">
        <w:rPr>
          <w:rFonts w:asciiTheme="majorBidi" w:hAnsiTheme="majorBidi" w:cstheme="majorBidi"/>
        </w:rPr>
        <w:t xml:space="preserve">, </w:t>
      </w:r>
      <w:r w:rsidRPr="00271330">
        <w:rPr>
          <w:rFonts w:asciiTheme="majorBidi" w:hAnsiTheme="majorBidi" w:cstheme="majorBidi"/>
          <w:i/>
          <w:iCs/>
        </w:rPr>
        <w:t>23</w:t>
      </w:r>
      <w:r w:rsidRPr="00271330">
        <w:rPr>
          <w:rFonts w:asciiTheme="majorBidi" w:hAnsiTheme="majorBidi" w:cstheme="majorBidi"/>
        </w:rPr>
        <w:t>(2). https://eprints.bournemouth.ac.uk/33918/</w:t>
      </w:r>
    </w:p>
    <w:p w14:paraId="402415BF"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Haer, T., </w:t>
      </w:r>
      <w:proofErr w:type="spellStart"/>
      <w:r w:rsidRPr="00271330">
        <w:rPr>
          <w:rFonts w:asciiTheme="majorBidi" w:hAnsiTheme="majorBidi" w:cstheme="majorBidi"/>
        </w:rPr>
        <w:t>Botzen</w:t>
      </w:r>
      <w:proofErr w:type="spellEnd"/>
      <w:r w:rsidRPr="00271330">
        <w:rPr>
          <w:rFonts w:asciiTheme="majorBidi" w:hAnsiTheme="majorBidi" w:cstheme="majorBidi"/>
        </w:rPr>
        <w:t xml:space="preserve">, W. J. W., &amp; Aerts, J. C. J. H. (2019). Advancing disaster policies by integrating dynamic adaptive </w:t>
      </w:r>
      <w:proofErr w:type="spellStart"/>
      <w:r w:rsidRPr="00271330">
        <w:rPr>
          <w:rFonts w:asciiTheme="majorBidi" w:hAnsiTheme="majorBidi" w:cstheme="majorBidi"/>
        </w:rPr>
        <w:t>behaviour</w:t>
      </w:r>
      <w:proofErr w:type="spellEnd"/>
      <w:r w:rsidRPr="00271330">
        <w:rPr>
          <w:rFonts w:asciiTheme="majorBidi" w:hAnsiTheme="majorBidi" w:cstheme="majorBidi"/>
        </w:rPr>
        <w:t xml:space="preserve"> in risk assessments using an agent-based modelling approach. </w:t>
      </w:r>
      <w:r w:rsidRPr="00271330">
        <w:rPr>
          <w:rFonts w:asciiTheme="majorBidi" w:hAnsiTheme="majorBidi" w:cstheme="majorBidi"/>
          <w:i/>
          <w:iCs/>
        </w:rPr>
        <w:t>Environmental Research Letters</w:t>
      </w:r>
      <w:r w:rsidRPr="00271330">
        <w:rPr>
          <w:rFonts w:asciiTheme="majorBidi" w:hAnsiTheme="majorBidi" w:cstheme="majorBidi"/>
        </w:rPr>
        <w:t xml:space="preserve">, </w:t>
      </w:r>
      <w:r w:rsidRPr="00271330">
        <w:rPr>
          <w:rFonts w:asciiTheme="majorBidi" w:hAnsiTheme="majorBidi" w:cstheme="majorBidi"/>
          <w:i/>
          <w:iCs/>
        </w:rPr>
        <w:t>14</w:t>
      </w:r>
      <w:r w:rsidRPr="00271330">
        <w:rPr>
          <w:rFonts w:asciiTheme="majorBidi" w:hAnsiTheme="majorBidi" w:cstheme="majorBidi"/>
        </w:rPr>
        <w:t>(4), 044022. https://doi.org/10.1088/1748-9326/ab0770</w:t>
      </w:r>
    </w:p>
    <w:p w14:paraId="43631355"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Haer, T., </w:t>
      </w:r>
      <w:proofErr w:type="spellStart"/>
      <w:r w:rsidRPr="00271330">
        <w:rPr>
          <w:rFonts w:asciiTheme="majorBidi" w:hAnsiTheme="majorBidi" w:cstheme="majorBidi"/>
        </w:rPr>
        <w:t>Botzen</w:t>
      </w:r>
      <w:proofErr w:type="spellEnd"/>
      <w:r w:rsidRPr="00271330">
        <w:rPr>
          <w:rFonts w:asciiTheme="majorBidi" w:hAnsiTheme="majorBidi" w:cstheme="majorBidi"/>
        </w:rPr>
        <w:t xml:space="preserve">, W. J. W., de Moel, H., &amp; Aerts, J. C. J. H. (2017). Integrating Household Risk Mitigation Behavior in Flood Risk Analysis: An Agent-Based Model Approach. </w:t>
      </w:r>
      <w:r w:rsidRPr="00271330">
        <w:rPr>
          <w:rFonts w:asciiTheme="majorBidi" w:hAnsiTheme="majorBidi" w:cstheme="majorBidi"/>
          <w:i/>
          <w:iCs/>
        </w:rPr>
        <w:t>Risk Analysis</w:t>
      </w:r>
      <w:r w:rsidRPr="00271330">
        <w:rPr>
          <w:rFonts w:asciiTheme="majorBidi" w:hAnsiTheme="majorBidi" w:cstheme="majorBidi"/>
        </w:rPr>
        <w:t xml:space="preserve">, </w:t>
      </w:r>
      <w:r w:rsidRPr="00271330">
        <w:rPr>
          <w:rFonts w:asciiTheme="majorBidi" w:hAnsiTheme="majorBidi" w:cstheme="majorBidi"/>
          <w:i/>
          <w:iCs/>
        </w:rPr>
        <w:t>37</w:t>
      </w:r>
      <w:r w:rsidRPr="00271330">
        <w:rPr>
          <w:rFonts w:asciiTheme="majorBidi" w:hAnsiTheme="majorBidi" w:cstheme="majorBidi"/>
        </w:rPr>
        <w:t>(10), 1977–1992. https://doi.org/10.1111/risa.12740</w:t>
      </w:r>
    </w:p>
    <w:p w14:paraId="4AE980A4"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Han, Y., Mao, L., Chen, X., Zhai, W., Peng, Z.-R., &amp; Mozumder, P. (2022). Agent-based Modeling to Evaluate Human–Environment Interactions in Community Flood Risk Mitigation. </w:t>
      </w:r>
      <w:r w:rsidRPr="00271330">
        <w:rPr>
          <w:rFonts w:asciiTheme="majorBidi" w:hAnsiTheme="majorBidi" w:cstheme="majorBidi"/>
          <w:i/>
          <w:iCs/>
        </w:rPr>
        <w:t>Risk Analysis</w:t>
      </w:r>
      <w:r w:rsidRPr="00271330">
        <w:rPr>
          <w:rFonts w:asciiTheme="majorBidi" w:hAnsiTheme="majorBidi" w:cstheme="majorBidi"/>
        </w:rPr>
        <w:t xml:space="preserve">, </w:t>
      </w:r>
      <w:r w:rsidRPr="00271330">
        <w:rPr>
          <w:rFonts w:asciiTheme="majorBidi" w:hAnsiTheme="majorBidi" w:cstheme="majorBidi"/>
          <w:i/>
          <w:iCs/>
        </w:rPr>
        <w:t>42</w:t>
      </w:r>
      <w:r w:rsidRPr="00271330">
        <w:rPr>
          <w:rFonts w:asciiTheme="majorBidi" w:hAnsiTheme="majorBidi" w:cstheme="majorBidi"/>
        </w:rPr>
        <w:t>(9), 2041–2061. https://doi.org/10.1111/risa.13854</w:t>
      </w:r>
    </w:p>
    <w:p w14:paraId="7AF8E878"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Holley, J. R., McComas, K. A., Lambert, C. E., Snider, N. P., &amp; Tucker, G. K. (2022). Responding to flood risk in Louisiana: The roles of place attachment, emotions, and location. </w:t>
      </w:r>
      <w:r w:rsidRPr="00271330">
        <w:rPr>
          <w:rFonts w:asciiTheme="majorBidi" w:hAnsiTheme="majorBidi" w:cstheme="majorBidi"/>
          <w:i/>
          <w:iCs/>
        </w:rPr>
        <w:t>Natural Hazards</w:t>
      </w:r>
      <w:r w:rsidRPr="00271330">
        <w:rPr>
          <w:rFonts w:asciiTheme="majorBidi" w:hAnsiTheme="majorBidi" w:cstheme="majorBidi"/>
        </w:rPr>
        <w:t xml:space="preserve">, </w:t>
      </w:r>
      <w:r w:rsidRPr="00271330">
        <w:rPr>
          <w:rFonts w:asciiTheme="majorBidi" w:hAnsiTheme="majorBidi" w:cstheme="majorBidi"/>
          <w:i/>
          <w:iCs/>
        </w:rPr>
        <w:t>113</w:t>
      </w:r>
      <w:r w:rsidRPr="00271330">
        <w:rPr>
          <w:rFonts w:asciiTheme="majorBidi" w:hAnsiTheme="majorBidi" w:cstheme="majorBidi"/>
        </w:rPr>
        <w:t>(1), 615–640. https://doi.org/10.1007/s11069-022-05316-9</w:t>
      </w:r>
    </w:p>
    <w:p w14:paraId="39FB3C14"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Hudson, P., </w:t>
      </w:r>
      <w:proofErr w:type="spellStart"/>
      <w:r w:rsidRPr="00271330">
        <w:rPr>
          <w:rFonts w:asciiTheme="majorBidi" w:hAnsiTheme="majorBidi" w:cstheme="majorBidi"/>
        </w:rPr>
        <w:t>Botzen</w:t>
      </w:r>
      <w:proofErr w:type="spellEnd"/>
      <w:r w:rsidRPr="00271330">
        <w:rPr>
          <w:rFonts w:asciiTheme="majorBidi" w:hAnsiTheme="majorBidi" w:cstheme="majorBidi"/>
        </w:rPr>
        <w:t xml:space="preserve">, W. J. W., Czajkowski, J., &amp; Kreibich, H. (2017). Moral Hazard in Natural Disaster Insurance Markets: Empirical Evidence from Germany and the United States. </w:t>
      </w:r>
      <w:r w:rsidRPr="00271330">
        <w:rPr>
          <w:rFonts w:asciiTheme="majorBidi" w:hAnsiTheme="majorBidi" w:cstheme="majorBidi"/>
          <w:i/>
          <w:iCs/>
        </w:rPr>
        <w:t>Land Economics</w:t>
      </w:r>
      <w:r w:rsidRPr="00271330">
        <w:rPr>
          <w:rFonts w:asciiTheme="majorBidi" w:hAnsiTheme="majorBidi" w:cstheme="majorBidi"/>
        </w:rPr>
        <w:t xml:space="preserve">, </w:t>
      </w:r>
      <w:r w:rsidRPr="00271330">
        <w:rPr>
          <w:rFonts w:asciiTheme="majorBidi" w:hAnsiTheme="majorBidi" w:cstheme="majorBidi"/>
          <w:i/>
          <w:iCs/>
        </w:rPr>
        <w:t>93</w:t>
      </w:r>
      <w:r w:rsidRPr="00271330">
        <w:rPr>
          <w:rFonts w:asciiTheme="majorBidi" w:hAnsiTheme="majorBidi" w:cstheme="majorBidi"/>
        </w:rPr>
        <w:t>(2), 179–208. https://doi.org/10.3368/le.93.2.179</w:t>
      </w:r>
    </w:p>
    <w:p w14:paraId="763CA819"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Hudson, P., </w:t>
      </w:r>
      <w:proofErr w:type="spellStart"/>
      <w:r w:rsidRPr="00271330">
        <w:rPr>
          <w:rFonts w:asciiTheme="majorBidi" w:hAnsiTheme="majorBidi" w:cstheme="majorBidi"/>
        </w:rPr>
        <w:t>Hagedoorn</w:t>
      </w:r>
      <w:proofErr w:type="spellEnd"/>
      <w:r w:rsidRPr="00271330">
        <w:rPr>
          <w:rFonts w:asciiTheme="majorBidi" w:hAnsiTheme="majorBidi" w:cstheme="majorBidi"/>
        </w:rPr>
        <w:t xml:space="preserve">, L., &amp; Bubeck, P. (2020). Potential Linkages Between Social Capital, Flood Risk Perceptions, and Self-Efficacy. </w:t>
      </w:r>
      <w:r w:rsidRPr="00271330">
        <w:rPr>
          <w:rFonts w:asciiTheme="majorBidi" w:hAnsiTheme="majorBidi" w:cstheme="majorBidi"/>
          <w:i/>
          <w:iCs/>
        </w:rPr>
        <w:t>International Journal of Disaster Risk Science</w:t>
      </w:r>
      <w:r w:rsidRPr="00271330">
        <w:rPr>
          <w:rFonts w:asciiTheme="majorBidi" w:hAnsiTheme="majorBidi" w:cstheme="majorBidi"/>
        </w:rPr>
        <w:t xml:space="preserve">, </w:t>
      </w:r>
      <w:r w:rsidRPr="00271330">
        <w:rPr>
          <w:rFonts w:asciiTheme="majorBidi" w:hAnsiTheme="majorBidi" w:cstheme="majorBidi"/>
          <w:i/>
          <w:iCs/>
        </w:rPr>
        <w:t>11</w:t>
      </w:r>
      <w:r w:rsidRPr="00271330">
        <w:rPr>
          <w:rFonts w:asciiTheme="majorBidi" w:hAnsiTheme="majorBidi" w:cstheme="majorBidi"/>
        </w:rPr>
        <w:t>(3), 251–262. https://doi.org/10.1007/s13753-020-00259-w</w:t>
      </w:r>
    </w:p>
    <w:p w14:paraId="1009C950"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IPCC. (2022). </w:t>
      </w:r>
      <w:r w:rsidRPr="00271330">
        <w:rPr>
          <w:rFonts w:asciiTheme="majorBidi" w:hAnsiTheme="majorBidi" w:cstheme="majorBidi"/>
          <w:i/>
          <w:iCs/>
        </w:rPr>
        <w:t>Climate Change 2022: Impacts, Adaptation, and Vulnerability. Contribution of Working Group II to the Sixth Assessment Report of the Intergovernmental Panel on Climate Change</w:t>
      </w:r>
      <w:r w:rsidRPr="00271330">
        <w:rPr>
          <w:rFonts w:asciiTheme="majorBidi" w:hAnsiTheme="majorBidi" w:cstheme="majorBidi"/>
        </w:rPr>
        <w:t>. Cambridge University Press. https://doi.org/10.1017/9781009325844</w:t>
      </w:r>
    </w:p>
    <w:p w14:paraId="627CA9D9"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Kousky, C. (2017). Disasters and Risk Perception. </w:t>
      </w:r>
      <w:r w:rsidRPr="00271330">
        <w:rPr>
          <w:rFonts w:asciiTheme="majorBidi" w:hAnsiTheme="majorBidi" w:cstheme="majorBidi"/>
          <w:i/>
          <w:iCs/>
        </w:rPr>
        <w:t>Annual Review of Resource Economics</w:t>
      </w:r>
      <w:r w:rsidRPr="00271330">
        <w:rPr>
          <w:rFonts w:asciiTheme="majorBidi" w:hAnsiTheme="majorBidi" w:cstheme="majorBidi"/>
        </w:rPr>
        <w:t xml:space="preserve">, </w:t>
      </w:r>
      <w:r w:rsidRPr="00271330">
        <w:rPr>
          <w:rFonts w:asciiTheme="majorBidi" w:hAnsiTheme="majorBidi" w:cstheme="majorBidi"/>
          <w:i/>
          <w:iCs/>
        </w:rPr>
        <w:t>9</w:t>
      </w:r>
      <w:r w:rsidRPr="00271330">
        <w:rPr>
          <w:rFonts w:asciiTheme="majorBidi" w:hAnsiTheme="majorBidi" w:cstheme="majorBidi"/>
        </w:rPr>
        <w:t>, 83–104. https://doi.org/10.1146/annurev-resource-100516-053409</w:t>
      </w:r>
    </w:p>
    <w:p w14:paraId="638CD4FA"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Kousky, C., &amp; Wiley, H. (2022). </w:t>
      </w:r>
      <w:r w:rsidRPr="00271330">
        <w:rPr>
          <w:rFonts w:asciiTheme="majorBidi" w:hAnsiTheme="majorBidi" w:cstheme="majorBidi"/>
          <w:i/>
          <w:iCs/>
        </w:rPr>
        <w:t>Improving the Post-Flood Financial Resilience of Lower-Income Households through Insurance</w:t>
      </w:r>
      <w:r w:rsidRPr="00271330">
        <w:rPr>
          <w:rFonts w:asciiTheme="majorBidi" w:hAnsiTheme="majorBidi" w:cstheme="majorBidi"/>
        </w:rPr>
        <w:t>. Environmental Defense Fund. https://www.edf.org/sites/default/files/2022-09/Improving-LMI-Household-Flood-Insurance-Options_Issue-Brief.pdf</w:t>
      </w:r>
    </w:p>
    <w:p w14:paraId="2CD37149"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Lee, J. Y., &amp; Van Zandt, S. (2019). Housing Tenure and Social Vulnerability to Disasters: A Review of the Evidence. </w:t>
      </w:r>
      <w:r w:rsidRPr="00271330">
        <w:rPr>
          <w:rFonts w:asciiTheme="majorBidi" w:hAnsiTheme="majorBidi" w:cstheme="majorBidi"/>
          <w:i/>
          <w:iCs/>
        </w:rPr>
        <w:t>Journal of Planning Literature</w:t>
      </w:r>
      <w:r w:rsidRPr="00271330">
        <w:rPr>
          <w:rFonts w:asciiTheme="majorBidi" w:hAnsiTheme="majorBidi" w:cstheme="majorBidi"/>
        </w:rPr>
        <w:t xml:space="preserve">, </w:t>
      </w:r>
      <w:r w:rsidRPr="00271330">
        <w:rPr>
          <w:rFonts w:asciiTheme="majorBidi" w:hAnsiTheme="majorBidi" w:cstheme="majorBidi"/>
          <w:i/>
          <w:iCs/>
        </w:rPr>
        <w:t>34</w:t>
      </w:r>
      <w:r w:rsidRPr="00271330">
        <w:rPr>
          <w:rFonts w:asciiTheme="majorBidi" w:hAnsiTheme="majorBidi" w:cstheme="majorBidi"/>
        </w:rPr>
        <w:t>(2), 156–170. https://doi.org/10.1177/0885412218812080</w:t>
      </w:r>
    </w:p>
    <w:p w14:paraId="46ADB7AA"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Lindell, M. K., &amp; Perry, R. W. (2012). The Protective Action Decision Model: Theoretical Modifications and Additional Evidence. </w:t>
      </w:r>
      <w:r w:rsidRPr="00271330">
        <w:rPr>
          <w:rFonts w:asciiTheme="majorBidi" w:hAnsiTheme="majorBidi" w:cstheme="majorBidi"/>
          <w:i/>
          <w:iCs/>
        </w:rPr>
        <w:t>Risk Analysis</w:t>
      </w:r>
      <w:r w:rsidRPr="00271330">
        <w:rPr>
          <w:rFonts w:asciiTheme="majorBidi" w:hAnsiTheme="majorBidi" w:cstheme="majorBidi"/>
        </w:rPr>
        <w:t xml:space="preserve">, </w:t>
      </w:r>
      <w:r w:rsidRPr="00271330">
        <w:rPr>
          <w:rFonts w:asciiTheme="majorBidi" w:hAnsiTheme="majorBidi" w:cstheme="majorBidi"/>
          <w:i/>
          <w:iCs/>
        </w:rPr>
        <w:t>32</w:t>
      </w:r>
      <w:r w:rsidRPr="00271330">
        <w:rPr>
          <w:rFonts w:asciiTheme="majorBidi" w:hAnsiTheme="majorBidi" w:cstheme="majorBidi"/>
        </w:rPr>
        <w:t>(4), 616–632. https://doi.org/10.1111/j.1539-6924.2011.01647.x</w:t>
      </w:r>
    </w:p>
    <w:p w14:paraId="116BCCCD"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McCarthy, S., &amp; Friedman, S. (2023). Disaster Preparedness and Housing Tenure: How Do Subsidized Renters Fare? </w:t>
      </w:r>
      <w:r w:rsidRPr="00271330">
        <w:rPr>
          <w:rFonts w:asciiTheme="majorBidi" w:hAnsiTheme="majorBidi" w:cstheme="majorBidi"/>
          <w:i/>
          <w:iCs/>
        </w:rPr>
        <w:t>Housing Policy Debate</w:t>
      </w:r>
      <w:r w:rsidRPr="00271330">
        <w:rPr>
          <w:rFonts w:asciiTheme="majorBidi" w:hAnsiTheme="majorBidi" w:cstheme="majorBidi"/>
        </w:rPr>
        <w:t xml:space="preserve">, </w:t>
      </w:r>
      <w:r w:rsidRPr="00271330">
        <w:rPr>
          <w:rFonts w:asciiTheme="majorBidi" w:hAnsiTheme="majorBidi" w:cstheme="majorBidi"/>
          <w:i/>
          <w:iCs/>
        </w:rPr>
        <w:t>33</w:t>
      </w:r>
      <w:r w:rsidRPr="00271330">
        <w:rPr>
          <w:rFonts w:asciiTheme="majorBidi" w:hAnsiTheme="majorBidi" w:cstheme="majorBidi"/>
        </w:rPr>
        <w:t>(5), 1100–1123. https://doi.org/10.1080/10511482.2023.2224309</w:t>
      </w:r>
    </w:p>
    <w:p w14:paraId="6F9C985B"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McEwen, L., Garde-Hansen, J., Holmes, A., Jones, O., &amp; Krause, F. (2017). Sustainable flood memories, lay </w:t>
      </w:r>
      <w:proofErr w:type="gramStart"/>
      <w:r w:rsidRPr="00271330">
        <w:rPr>
          <w:rFonts w:asciiTheme="majorBidi" w:hAnsiTheme="majorBidi" w:cstheme="majorBidi"/>
        </w:rPr>
        <w:t>knowledges</w:t>
      </w:r>
      <w:proofErr w:type="gramEnd"/>
      <w:r w:rsidRPr="00271330">
        <w:rPr>
          <w:rFonts w:asciiTheme="majorBidi" w:hAnsiTheme="majorBidi" w:cstheme="majorBidi"/>
        </w:rPr>
        <w:t xml:space="preserve"> and the development of community resilience to future flood risk. </w:t>
      </w:r>
      <w:r w:rsidRPr="00271330">
        <w:rPr>
          <w:rFonts w:asciiTheme="majorBidi" w:hAnsiTheme="majorBidi" w:cstheme="majorBidi"/>
          <w:i/>
          <w:iCs/>
        </w:rPr>
        <w:t>Transactions of the Institute of British Geographers</w:t>
      </w:r>
      <w:r w:rsidRPr="00271330">
        <w:rPr>
          <w:rFonts w:asciiTheme="majorBidi" w:hAnsiTheme="majorBidi" w:cstheme="majorBidi"/>
        </w:rPr>
        <w:t xml:space="preserve">, </w:t>
      </w:r>
      <w:r w:rsidRPr="00271330">
        <w:rPr>
          <w:rFonts w:asciiTheme="majorBidi" w:hAnsiTheme="majorBidi" w:cstheme="majorBidi"/>
          <w:i/>
          <w:iCs/>
        </w:rPr>
        <w:t>42</w:t>
      </w:r>
      <w:r w:rsidRPr="00271330">
        <w:rPr>
          <w:rFonts w:asciiTheme="majorBidi" w:hAnsiTheme="majorBidi" w:cstheme="majorBidi"/>
        </w:rPr>
        <w:t>(1), 14–28. https://doi.org/10.1111/tran.12149</w:t>
      </w:r>
    </w:p>
    <w:p w14:paraId="658DCAA0"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Mendis, K., Thayaparan, M., Kaluarachchi, Y., &amp; </w:t>
      </w:r>
      <w:proofErr w:type="spellStart"/>
      <w:r w:rsidRPr="00271330">
        <w:rPr>
          <w:rFonts w:asciiTheme="majorBidi" w:hAnsiTheme="majorBidi" w:cstheme="majorBidi"/>
        </w:rPr>
        <w:t>Pathirage</w:t>
      </w:r>
      <w:proofErr w:type="spellEnd"/>
      <w:r w:rsidRPr="00271330">
        <w:rPr>
          <w:rFonts w:asciiTheme="majorBidi" w:hAnsiTheme="majorBidi" w:cstheme="majorBidi"/>
        </w:rPr>
        <w:t xml:space="preserve">, C. (2023). Challenges Faced by Marginalized Communities in a Post-Disaster Context: A Systematic Review of </w:t>
      </w:r>
      <w:proofErr w:type="gramStart"/>
      <w:r w:rsidRPr="00271330">
        <w:rPr>
          <w:rFonts w:asciiTheme="majorBidi" w:hAnsiTheme="majorBidi" w:cstheme="majorBidi"/>
        </w:rPr>
        <w:t>the Literature</w:t>
      </w:r>
      <w:proofErr w:type="gramEnd"/>
      <w:r w:rsidRPr="00271330">
        <w:rPr>
          <w:rFonts w:asciiTheme="majorBidi" w:hAnsiTheme="majorBidi" w:cstheme="majorBidi"/>
        </w:rPr>
        <w:t xml:space="preserve">. </w:t>
      </w:r>
      <w:r w:rsidRPr="00271330">
        <w:rPr>
          <w:rFonts w:asciiTheme="majorBidi" w:hAnsiTheme="majorBidi" w:cstheme="majorBidi"/>
          <w:i/>
          <w:iCs/>
        </w:rPr>
        <w:t>Sustainability</w:t>
      </w:r>
      <w:r w:rsidRPr="00271330">
        <w:rPr>
          <w:rFonts w:asciiTheme="majorBidi" w:hAnsiTheme="majorBidi" w:cstheme="majorBidi"/>
        </w:rPr>
        <w:t xml:space="preserve">, </w:t>
      </w:r>
      <w:r w:rsidRPr="00271330">
        <w:rPr>
          <w:rFonts w:asciiTheme="majorBidi" w:hAnsiTheme="majorBidi" w:cstheme="majorBidi"/>
          <w:i/>
          <w:iCs/>
        </w:rPr>
        <w:t>15</w:t>
      </w:r>
      <w:r w:rsidRPr="00271330">
        <w:rPr>
          <w:rFonts w:asciiTheme="majorBidi" w:hAnsiTheme="majorBidi" w:cstheme="majorBidi"/>
        </w:rPr>
        <w:t>(14), Article 14. https://doi.org/10.3390/su151410754</w:t>
      </w:r>
    </w:p>
    <w:p w14:paraId="0BA347CD"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Michaelis, T., Brandimarte, L., &amp; Mazzoleni, M. (2020). Capturing flood-risk dynamics with a coupled agent-based and hydraulic modelling framework. </w:t>
      </w:r>
      <w:r w:rsidRPr="00271330">
        <w:rPr>
          <w:rFonts w:asciiTheme="majorBidi" w:hAnsiTheme="majorBidi" w:cstheme="majorBidi"/>
          <w:i/>
          <w:iCs/>
        </w:rPr>
        <w:t>Hydrological Sciences Journal</w:t>
      </w:r>
      <w:r w:rsidRPr="00271330">
        <w:rPr>
          <w:rFonts w:asciiTheme="majorBidi" w:hAnsiTheme="majorBidi" w:cstheme="majorBidi"/>
        </w:rPr>
        <w:t xml:space="preserve">, </w:t>
      </w:r>
      <w:r w:rsidRPr="00271330">
        <w:rPr>
          <w:rFonts w:asciiTheme="majorBidi" w:hAnsiTheme="majorBidi" w:cstheme="majorBidi"/>
          <w:i/>
          <w:iCs/>
        </w:rPr>
        <w:t>65</w:t>
      </w:r>
      <w:r w:rsidRPr="00271330">
        <w:rPr>
          <w:rFonts w:asciiTheme="majorBidi" w:hAnsiTheme="majorBidi" w:cstheme="majorBidi"/>
        </w:rPr>
        <w:t>(9), 1458–1473. https://doi.org/10.1080/02626667.2020.1750617</w:t>
      </w:r>
    </w:p>
    <w:p w14:paraId="120637A0"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Moradzadeh, M., &amp; Ahmadi, M. (2024). Unraveling the interplay of human decisions and flood risk: An agent-based modeling approach. </w:t>
      </w:r>
      <w:r w:rsidRPr="00271330">
        <w:rPr>
          <w:rFonts w:asciiTheme="majorBidi" w:hAnsiTheme="majorBidi" w:cstheme="majorBidi"/>
          <w:i/>
          <w:iCs/>
        </w:rPr>
        <w:t>International Journal of Disaster Risk Reduction</w:t>
      </w:r>
      <w:r w:rsidRPr="00271330">
        <w:rPr>
          <w:rFonts w:asciiTheme="majorBidi" w:hAnsiTheme="majorBidi" w:cstheme="majorBidi"/>
        </w:rPr>
        <w:t xml:space="preserve">, </w:t>
      </w:r>
      <w:r w:rsidRPr="00271330">
        <w:rPr>
          <w:rFonts w:asciiTheme="majorBidi" w:hAnsiTheme="majorBidi" w:cstheme="majorBidi"/>
          <w:i/>
          <w:iCs/>
        </w:rPr>
        <w:t>107</w:t>
      </w:r>
      <w:r w:rsidRPr="00271330">
        <w:rPr>
          <w:rFonts w:asciiTheme="majorBidi" w:hAnsiTheme="majorBidi" w:cstheme="majorBidi"/>
        </w:rPr>
        <w:t>, 104486. https://doi.org/10.1016/j.ijdrr.2024.104486</w:t>
      </w:r>
    </w:p>
    <w:p w14:paraId="1390B8CA" w14:textId="77777777" w:rsidR="00005EB0" w:rsidRPr="00271330" w:rsidRDefault="00005EB0" w:rsidP="00005EB0">
      <w:pPr>
        <w:pStyle w:val="ac"/>
        <w:rPr>
          <w:rFonts w:asciiTheme="majorBidi" w:hAnsiTheme="majorBidi" w:cstheme="majorBidi"/>
        </w:rPr>
      </w:pPr>
      <w:proofErr w:type="spellStart"/>
      <w:r w:rsidRPr="00271330">
        <w:rPr>
          <w:rFonts w:asciiTheme="majorBidi" w:hAnsiTheme="majorBidi" w:cstheme="majorBidi"/>
        </w:rPr>
        <w:t>Nabinejad</w:t>
      </w:r>
      <w:proofErr w:type="spellEnd"/>
      <w:r w:rsidRPr="00271330">
        <w:rPr>
          <w:rFonts w:asciiTheme="majorBidi" w:hAnsiTheme="majorBidi" w:cstheme="majorBidi"/>
        </w:rPr>
        <w:t xml:space="preserve">, S., </w:t>
      </w:r>
      <w:proofErr w:type="spellStart"/>
      <w:r w:rsidRPr="00271330">
        <w:rPr>
          <w:rFonts w:asciiTheme="majorBidi" w:hAnsiTheme="majorBidi" w:cstheme="majorBidi"/>
        </w:rPr>
        <w:t>Schüttrumpf</w:t>
      </w:r>
      <w:proofErr w:type="spellEnd"/>
      <w:r w:rsidRPr="00271330">
        <w:rPr>
          <w:rFonts w:asciiTheme="majorBidi" w:hAnsiTheme="majorBidi" w:cstheme="majorBidi"/>
        </w:rPr>
        <w:t xml:space="preserve">, H., </w:t>
      </w:r>
      <w:proofErr w:type="spellStart"/>
      <w:r w:rsidRPr="00271330">
        <w:rPr>
          <w:rFonts w:asciiTheme="majorBidi" w:hAnsiTheme="majorBidi" w:cstheme="majorBidi"/>
        </w:rPr>
        <w:t>Nabinejad</w:t>
      </w:r>
      <w:proofErr w:type="spellEnd"/>
      <w:r w:rsidRPr="00271330">
        <w:rPr>
          <w:rFonts w:asciiTheme="majorBidi" w:hAnsiTheme="majorBidi" w:cstheme="majorBidi"/>
        </w:rPr>
        <w:t xml:space="preserve">, S., &amp; </w:t>
      </w:r>
      <w:proofErr w:type="spellStart"/>
      <w:r w:rsidRPr="00271330">
        <w:rPr>
          <w:rFonts w:asciiTheme="majorBidi" w:hAnsiTheme="majorBidi" w:cstheme="majorBidi"/>
        </w:rPr>
        <w:t>Schüttrumpf</w:t>
      </w:r>
      <w:proofErr w:type="spellEnd"/>
      <w:r w:rsidRPr="00271330">
        <w:rPr>
          <w:rFonts w:asciiTheme="majorBidi" w:hAnsiTheme="majorBidi" w:cstheme="majorBidi"/>
        </w:rPr>
        <w:t xml:space="preserve">, H. (2024). Agent-Based Modeling for Household Decision-Making in Adoption of Private Flood Mitigation Measures: The Upper Kan Catchment Case Study. </w:t>
      </w:r>
      <w:r w:rsidRPr="00271330">
        <w:rPr>
          <w:rFonts w:asciiTheme="majorBidi" w:hAnsiTheme="majorBidi" w:cstheme="majorBidi"/>
          <w:i/>
          <w:iCs/>
        </w:rPr>
        <w:t>Water</w:t>
      </w:r>
      <w:r w:rsidRPr="00271330">
        <w:rPr>
          <w:rFonts w:asciiTheme="majorBidi" w:hAnsiTheme="majorBidi" w:cstheme="majorBidi"/>
        </w:rPr>
        <w:t xml:space="preserve">, </w:t>
      </w:r>
      <w:r w:rsidRPr="00271330">
        <w:rPr>
          <w:rFonts w:asciiTheme="majorBidi" w:hAnsiTheme="majorBidi" w:cstheme="majorBidi"/>
          <w:i/>
          <w:iCs/>
        </w:rPr>
        <w:t>16</w:t>
      </w:r>
      <w:r w:rsidRPr="00271330">
        <w:rPr>
          <w:rFonts w:asciiTheme="majorBidi" w:hAnsiTheme="majorBidi" w:cstheme="majorBidi"/>
        </w:rPr>
        <w:t>(14). https://doi.org/10.3390/w16142027</w:t>
      </w:r>
    </w:p>
    <w:p w14:paraId="320DD1AF"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NJDEP. (2023). </w:t>
      </w:r>
      <w:r w:rsidRPr="00271330">
        <w:rPr>
          <w:rFonts w:asciiTheme="majorBidi" w:hAnsiTheme="majorBidi" w:cstheme="majorBidi"/>
          <w:i/>
          <w:iCs/>
        </w:rPr>
        <w:t>Blue Acres CDBG-DR Policy Manual</w:t>
      </w:r>
      <w:r w:rsidRPr="00271330">
        <w:rPr>
          <w:rFonts w:asciiTheme="majorBidi" w:hAnsiTheme="majorBidi" w:cstheme="majorBidi"/>
        </w:rPr>
        <w:t>. New Jersey Department of Community Affairs. https://www.nj.gov/dca/ddrm/pdf_docs/Blue%20Acres%20CDBG-DR%20Policy%20Manual%20V2_508.pdf</w:t>
      </w:r>
    </w:p>
    <w:p w14:paraId="5731F82C"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Pathak, S., &amp; Emah, I. E. (2017). Gendered approach towards disaster recovery: Experiences from 2011 floods in </w:t>
      </w:r>
      <w:proofErr w:type="spellStart"/>
      <w:r w:rsidRPr="00271330">
        <w:rPr>
          <w:rFonts w:asciiTheme="majorBidi" w:hAnsiTheme="majorBidi" w:cstheme="majorBidi"/>
        </w:rPr>
        <w:t>Pathumthani</w:t>
      </w:r>
      <w:proofErr w:type="spellEnd"/>
      <w:r w:rsidRPr="00271330">
        <w:rPr>
          <w:rFonts w:asciiTheme="majorBidi" w:hAnsiTheme="majorBidi" w:cstheme="majorBidi"/>
        </w:rPr>
        <w:t xml:space="preserve"> province, Thailand. </w:t>
      </w:r>
      <w:r w:rsidRPr="00271330">
        <w:rPr>
          <w:rFonts w:asciiTheme="majorBidi" w:hAnsiTheme="majorBidi" w:cstheme="majorBidi"/>
          <w:i/>
          <w:iCs/>
        </w:rPr>
        <w:t>International Journal of Disaster Risk Reduction</w:t>
      </w:r>
      <w:r w:rsidRPr="00271330">
        <w:rPr>
          <w:rFonts w:asciiTheme="majorBidi" w:hAnsiTheme="majorBidi" w:cstheme="majorBidi"/>
        </w:rPr>
        <w:t xml:space="preserve">, </w:t>
      </w:r>
      <w:r w:rsidRPr="00271330">
        <w:rPr>
          <w:rFonts w:asciiTheme="majorBidi" w:hAnsiTheme="majorBidi" w:cstheme="majorBidi"/>
          <w:i/>
          <w:iCs/>
        </w:rPr>
        <w:t>24</w:t>
      </w:r>
      <w:r w:rsidRPr="00271330">
        <w:rPr>
          <w:rFonts w:asciiTheme="majorBidi" w:hAnsiTheme="majorBidi" w:cstheme="majorBidi"/>
        </w:rPr>
        <w:t>, 129–134. https://doi.org/10.1016/j.ijdrr.2017.06.007</w:t>
      </w:r>
    </w:p>
    <w:p w14:paraId="330A8268"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Peacock, W. G., Van Zandt, S., Zhang, Y., &amp; Highfield, W. E. (2014). Inequities in Long-Term Housing Recovery After Disasters. </w:t>
      </w:r>
      <w:r w:rsidRPr="00271330">
        <w:rPr>
          <w:rFonts w:asciiTheme="majorBidi" w:hAnsiTheme="majorBidi" w:cstheme="majorBidi"/>
          <w:i/>
          <w:iCs/>
        </w:rPr>
        <w:t>Journal of the American Planning Association</w:t>
      </w:r>
      <w:r w:rsidRPr="00271330">
        <w:rPr>
          <w:rFonts w:asciiTheme="majorBidi" w:hAnsiTheme="majorBidi" w:cstheme="majorBidi"/>
        </w:rPr>
        <w:t xml:space="preserve">, </w:t>
      </w:r>
      <w:r w:rsidRPr="00271330">
        <w:rPr>
          <w:rFonts w:asciiTheme="majorBidi" w:hAnsiTheme="majorBidi" w:cstheme="majorBidi"/>
          <w:i/>
          <w:iCs/>
        </w:rPr>
        <w:t>80</w:t>
      </w:r>
      <w:r w:rsidRPr="00271330">
        <w:rPr>
          <w:rFonts w:asciiTheme="majorBidi" w:hAnsiTheme="majorBidi" w:cstheme="majorBidi"/>
        </w:rPr>
        <w:t>(4), 356–371. https://doi.org/10.1080/01944363.2014.980440</w:t>
      </w:r>
    </w:p>
    <w:p w14:paraId="3539A221"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Ridolfi, E., Mondino, E., &amp; Di Baldassarre, G. (2020). Hydrological risk: Modeling flood memory and human proximity to rivers. </w:t>
      </w:r>
      <w:r w:rsidRPr="00271330">
        <w:rPr>
          <w:rFonts w:asciiTheme="majorBidi" w:hAnsiTheme="majorBidi" w:cstheme="majorBidi"/>
          <w:i/>
          <w:iCs/>
        </w:rPr>
        <w:t>Hydrology Research</w:t>
      </w:r>
      <w:r w:rsidRPr="00271330">
        <w:rPr>
          <w:rFonts w:asciiTheme="majorBidi" w:hAnsiTheme="majorBidi" w:cstheme="majorBidi"/>
        </w:rPr>
        <w:t xml:space="preserve">, </w:t>
      </w:r>
      <w:r w:rsidRPr="00271330">
        <w:rPr>
          <w:rFonts w:asciiTheme="majorBidi" w:hAnsiTheme="majorBidi" w:cstheme="majorBidi"/>
          <w:i/>
          <w:iCs/>
        </w:rPr>
        <w:t>52</w:t>
      </w:r>
      <w:r w:rsidRPr="00271330">
        <w:rPr>
          <w:rFonts w:asciiTheme="majorBidi" w:hAnsiTheme="majorBidi" w:cstheme="majorBidi"/>
        </w:rPr>
        <w:t>(1), 241–252. https://doi.org/10.2166/nh.2020.195</w:t>
      </w:r>
    </w:p>
    <w:p w14:paraId="7F0D975D"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Rogers, R. W. (1975). A Protection Motivation Theory of Fear Appeals and Attitude Change1. </w:t>
      </w:r>
      <w:r w:rsidRPr="00271330">
        <w:rPr>
          <w:rFonts w:asciiTheme="majorBidi" w:hAnsiTheme="majorBidi" w:cstheme="majorBidi"/>
          <w:i/>
          <w:iCs/>
        </w:rPr>
        <w:t>The Journal of Psychology</w:t>
      </w:r>
      <w:r w:rsidRPr="00271330">
        <w:rPr>
          <w:rFonts w:asciiTheme="majorBidi" w:hAnsiTheme="majorBidi" w:cstheme="majorBidi"/>
        </w:rPr>
        <w:t xml:space="preserve">, </w:t>
      </w:r>
      <w:r w:rsidRPr="00271330">
        <w:rPr>
          <w:rFonts w:asciiTheme="majorBidi" w:hAnsiTheme="majorBidi" w:cstheme="majorBidi"/>
          <w:i/>
          <w:iCs/>
        </w:rPr>
        <w:t>91</w:t>
      </w:r>
      <w:r w:rsidRPr="00271330">
        <w:rPr>
          <w:rFonts w:asciiTheme="majorBidi" w:hAnsiTheme="majorBidi" w:cstheme="majorBidi"/>
        </w:rPr>
        <w:t>(1), 93–114. https://doi.org/10.1080/00223980.1975.9915803</w:t>
      </w:r>
    </w:p>
    <w:p w14:paraId="4774C0A6"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Rogers, RW. (1983). Cognitive and physiological processes in fear appeals and attitude change: A revised theory of protection motivation. </w:t>
      </w:r>
      <w:r w:rsidRPr="00271330">
        <w:rPr>
          <w:rFonts w:asciiTheme="majorBidi" w:hAnsiTheme="majorBidi" w:cstheme="majorBidi"/>
          <w:i/>
          <w:iCs/>
        </w:rPr>
        <w:t xml:space="preserve">Social </w:t>
      </w:r>
      <w:proofErr w:type="gramStart"/>
      <w:r w:rsidRPr="00271330">
        <w:rPr>
          <w:rFonts w:asciiTheme="majorBidi" w:hAnsiTheme="majorBidi" w:cstheme="majorBidi"/>
          <w:i/>
          <w:iCs/>
        </w:rPr>
        <w:t>Psychology :</w:t>
      </w:r>
      <w:proofErr w:type="gramEnd"/>
      <w:r w:rsidRPr="00271330">
        <w:rPr>
          <w:rFonts w:asciiTheme="majorBidi" w:hAnsiTheme="majorBidi" w:cstheme="majorBidi"/>
          <w:i/>
          <w:iCs/>
        </w:rPr>
        <w:t xml:space="preserve"> A Source Book</w:t>
      </w:r>
      <w:r w:rsidRPr="00271330">
        <w:rPr>
          <w:rFonts w:asciiTheme="majorBidi" w:hAnsiTheme="majorBidi" w:cstheme="majorBidi"/>
        </w:rPr>
        <w:t>, 153–176.</w:t>
      </w:r>
    </w:p>
    <w:p w14:paraId="650F6F81"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Rufat, S., Tate, E., Burton, C. G., &amp; Maroof, A. S. (2015). Social vulnerability to floods: Review of case studies and implications for measurement. </w:t>
      </w:r>
      <w:r w:rsidRPr="00271330">
        <w:rPr>
          <w:rFonts w:asciiTheme="majorBidi" w:hAnsiTheme="majorBidi" w:cstheme="majorBidi"/>
          <w:i/>
          <w:iCs/>
        </w:rPr>
        <w:t>International Journal of Disaster Risk Reduction</w:t>
      </w:r>
      <w:r w:rsidRPr="00271330">
        <w:rPr>
          <w:rFonts w:asciiTheme="majorBidi" w:hAnsiTheme="majorBidi" w:cstheme="majorBidi"/>
        </w:rPr>
        <w:t xml:space="preserve">, </w:t>
      </w:r>
      <w:r w:rsidRPr="00271330">
        <w:rPr>
          <w:rFonts w:asciiTheme="majorBidi" w:hAnsiTheme="majorBidi" w:cstheme="majorBidi"/>
          <w:i/>
          <w:iCs/>
        </w:rPr>
        <w:t>14</w:t>
      </w:r>
      <w:r w:rsidRPr="00271330">
        <w:rPr>
          <w:rFonts w:asciiTheme="majorBidi" w:hAnsiTheme="majorBidi" w:cstheme="majorBidi"/>
        </w:rPr>
        <w:t>, 470–486. https://doi.org/10.1016/j.ijdrr.2015.09.013</w:t>
      </w:r>
    </w:p>
    <w:p w14:paraId="1C35817B"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Shcheglovitova, M., &amp; Lee, G. (2024). Merging Federal Flooding and Housing Data to Gain Insight into Flood Impacts on Federally Assisted Households. </w:t>
      </w:r>
      <w:r w:rsidRPr="00271330">
        <w:rPr>
          <w:rFonts w:asciiTheme="majorBidi" w:hAnsiTheme="majorBidi" w:cstheme="majorBidi"/>
          <w:i/>
          <w:iCs/>
        </w:rPr>
        <w:t>Cityscape</w:t>
      </w:r>
      <w:r w:rsidRPr="00271330">
        <w:rPr>
          <w:rFonts w:asciiTheme="majorBidi" w:hAnsiTheme="majorBidi" w:cstheme="majorBidi"/>
        </w:rPr>
        <w:t xml:space="preserve">, </w:t>
      </w:r>
      <w:r w:rsidRPr="00271330">
        <w:rPr>
          <w:rFonts w:asciiTheme="majorBidi" w:hAnsiTheme="majorBidi" w:cstheme="majorBidi"/>
          <w:i/>
          <w:iCs/>
        </w:rPr>
        <w:t>26</w:t>
      </w:r>
      <w:r w:rsidRPr="00271330">
        <w:rPr>
          <w:rFonts w:asciiTheme="majorBidi" w:hAnsiTheme="majorBidi" w:cstheme="majorBidi"/>
        </w:rPr>
        <w:t>(1), 35–60.</w:t>
      </w:r>
    </w:p>
    <w:p w14:paraId="4BB50873"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Tachikawa, Y., &amp; Tanaka, T. (2018). </w:t>
      </w:r>
      <w:r w:rsidRPr="00271330">
        <w:rPr>
          <w:rFonts w:asciiTheme="majorBidi" w:hAnsiTheme="majorBidi" w:cstheme="majorBidi"/>
          <w:i/>
          <w:iCs/>
        </w:rPr>
        <w:t>User Manual for Distributed Hydrological Model: 1K-DHM-event (version 2.22)</w:t>
      </w:r>
      <w:r w:rsidRPr="00271330">
        <w:rPr>
          <w:rFonts w:asciiTheme="majorBidi" w:hAnsiTheme="majorBidi" w:cstheme="majorBidi"/>
        </w:rPr>
        <w:t>. Kyoto University, Hydrology and Water Resources Research Laboratory. https://hywr.kuciv.kyoto-u.ac.jp/products/1K-DHM/1K-DHM.html</w:t>
      </w:r>
    </w:p>
    <w:p w14:paraId="7B120987"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Tellman, B., Schank, C., Schwarz, B., Howe, P. D., &amp; de Sherbinin, A. (2020). Using Disaster Outcomes to Validate Components of Social Vulnerability to Floods: Flood Deaths and Property Damage across the USA. </w:t>
      </w:r>
      <w:r w:rsidRPr="00271330">
        <w:rPr>
          <w:rFonts w:asciiTheme="majorBidi" w:hAnsiTheme="majorBidi" w:cstheme="majorBidi"/>
          <w:i/>
          <w:iCs/>
        </w:rPr>
        <w:t>Sustainability</w:t>
      </w:r>
      <w:r w:rsidRPr="00271330">
        <w:rPr>
          <w:rFonts w:asciiTheme="majorBidi" w:hAnsiTheme="majorBidi" w:cstheme="majorBidi"/>
        </w:rPr>
        <w:t xml:space="preserve">, </w:t>
      </w:r>
      <w:r w:rsidRPr="00271330">
        <w:rPr>
          <w:rFonts w:asciiTheme="majorBidi" w:hAnsiTheme="majorBidi" w:cstheme="majorBidi"/>
          <w:i/>
          <w:iCs/>
        </w:rPr>
        <w:t>12</w:t>
      </w:r>
      <w:r w:rsidRPr="00271330">
        <w:rPr>
          <w:rFonts w:asciiTheme="majorBidi" w:hAnsiTheme="majorBidi" w:cstheme="majorBidi"/>
        </w:rPr>
        <w:t>(15), Article 15. https://doi.org/10.3390/su12156006</w:t>
      </w:r>
    </w:p>
    <w:p w14:paraId="7E047381"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Thistlethwaite, J., </w:t>
      </w:r>
      <w:proofErr w:type="spellStart"/>
      <w:r w:rsidRPr="00271330">
        <w:rPr>
          <w:rFonts w:asciiTheme="majorBidi" w:hAnsiTheme="majorBidi" w:cstheme="majorBidi"/>
        </w:rPr>
        <w:t>Henstra</w:t>
      </w:r>
      <w:proofErr w:type="spellEnd"/>
      <w:r w:rsidRPr="00271330">
        <w:rPr>
          <w:rFonts w:asciiTheme="majorBidi" w:hAnsiTheme="majorBidi" w:cstheme="majorBidi"/>
        </w:rPr>
        <w:t xml:space="preserve">, D., Brown, C., &amp; Scott, D. (2020). Barriers to Insurance as a Flood Risk Management Tool: Evidence from a Survey of Property Owners. </w:t>
      </w:r>
      <w:r w:rsidRPr="00271330">
        <w:rPr>
          <w:rFonts w:asciiTheme="majorBidi" w:hAnsiTheme="majorBidi" w:cstheme="majorBidi"/>
          <w:i/>
          <w:iCs/>
        </w:rPr>
        <w:t>International Journal of Disaster Risk Science</w:t>
      </w:r>
      <w:r w:rsidRPr="00271330">
        <w:rPr>
          <w:rFonts w:asciiTheme="majorBidi" w:hAnsiTheme="majorBidi" w:cstheme="majorBidi"/>
        </w:rPr>
        <w:t xml:space="preserve">, </w:t>
      </w:r>
      <w:r w:rsidRPr="00271330">
        <w:rPr>
          <w:rFonts w:asciiTheme="majorBidi" w:hAnsiTheme="majorBidi" w:cstheme="majorBidi"/>
          <w:i/>
          <w:iCs/>
        </w:rPr>
        <w:t>11</w:t>
      </w:r>
      <w:r w:rsidRPr="00271330">
        <w:rPr>
          <w:rFonts w:asciiTheme="majorBidi" w:hAnsiTheme="majorBidi" w:cstheme="majorBidi"/>
        </w:rPr>
        <w:t>(3), 263–273. https://doi.org/10.1007/s13753-020-00272-z</w:t>
      </w:r>
    </w:p>
    <w:p w14:paraId="0BD0189F" w14:textId="77777777" w:rsidR="00005EB0" w:rsidRPr="00271330" w:rsidRDefault="00005EB0" w:rsidP="00005EB0">
      <w:pPr>
        <w:pStyle w:val="ac"/>
        <w:rPr>
          <w:rFonts w:asciiTheme="majorBidi" w:hAnsiTheme="majorBidi" w:cstheme="majorBidi"/>
        </w:rPr>
      </w:pPr>
      <w:proofErr w:type="spellStart"/>
      <w:r w:rsidRPr="00271330">
        <w:rPr>
          <w:rFonts w:asciiTheme="majorBidi" w:hAnsiTheme="majorBidi" w:cstheme="majorBidi"/>
        </w:rPr>
        <w:t>Tierolf</w:t>
      </w:r>
      <w:proofErr w:type="spellEnd"/>
      <w:r w:rsidRPr="00271330">
        <w:rPr>
          <w:rFonts w:asciiTheme="majorBidi" w:hAnsiTheme="majorBidi" w:cstheme="majorBidi"/>
        </w:rPr>
        <w:t xml:space="preserve">, L., Haer, T., </w:t>
      </w:r>
      <w:proofErr w:type="spellStart"/>
      <w:r w:rsidRPr="00271330">
        <w:rPr>
          <w:rFonts w:asciiTheme="majorBidi" w:hAnsiTheme="majorBidi" w:cstheme="majorBidi"/>
        </w:rPr>
        <w:t>Botzen</w:t>
      </w:r>
      <w:proofErr w:type="spellEnd"/>
      <w:r w:rsidRPr="00271330">
        <w:rPr>
          <w:rFonts w:asciiTheme="majorBidi" w:hAnsiTheme="majorBidi" w:cstheme="majorBidi"/>
        </w:rPr>
        <w:t xml:space="preserve">, W. J. W., de Bruijn, J. A., Ton, M. J., Reimann, L., &amp; Aerts, J. C. J. H. (2023). A coupled agent-based model for France for simulating adaptation and migration decisions under future coastal flood risk. </w:t>
      </w:r>
      <w:r w:rsidRPr="00271330">
        <w:rPr>
          <w:rFonts w:asciiTheme="majorBidi" w:hAnsiTheme="majorBidi" w:cstheme="majorBidi"/>
          <w:i/>
          <w:iCs/>
        </w:rPr>
        <w:t>Scientific Reports</w:t>
      </w:r>
      <w:r w:rsidRPr="00271330">
        <w:rPr>
          <w:rFonts w:asciiTheme="majorBidi" w:hAnsiTheme="majorBidi" w:cstheme="majorBidi"/>
        </w:rPr>
        <w:t xml:space="preserve">, </w:t>
      </w:r>
      <w:r w:rsidRPr="00271330">
        <w:rPr>
          <w:rFonts w:asciiTheme="majorBidi" w:hAnsiTheme="majorBidi" w:cstheme="majorBidi"/>
          <w:i/>
          <w:iCs/>
        </w:rPr>
        <w:t>13</w:t>
      </w:r>
      <w:r w:rsidRPr="00271330">
        <w:rPr>
          <w:rFonts w:asciiTheme="majorBidi" w:hAnsiTheme="majorBidi" w:cstheme="majorBidi"/>
        </w:rPr>
        <w:t>(1), 4176. https://doi.org/10.1038/s41598-023-31351-y</w:t>
      </w:r>
    </w:p>
    <w:p w14:paraId="494D4FDF"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Tonn, G., Guikema, S., &amp; Zaitchik, B. (2020). Simulating Behavioral Influences on Community Flood Risk under Future Climate Scenarios. </w:t>
      </w:r>
      <w:r w:rsidRPr="00271330">
        <w:rPr>
          <w:rFonts w:asciiTheme="majorBidi" w:hAnsiTheme="majorBidi" w:cstheme="majorBidi"/>
          <w:i/>
          <w:iCs/>
        </w:rPr>
        <w:t>Risk Analysis</w:t>
      </w:r>
      <w:r w:rsidRPr="00271330">
        <w:rPr>
          <w:rFonts w:asciiTheme="majorBidi" w:hAnsiTheme="majorBidi" w:cstheme="majorBidi"/>
        </w:rPr>
        <w:t xml:space="preserve">, </w:t>
      </w:r>
      <w:r w:rsidRPr="00271330">
        <w:rPr>
          <w:rFonts w:asciiTheme="majorBidi" w:hAnsiTheme="majorBidi" w:cstheme="majorBidi"/>
          <w:i/>
          <w:iCs/>
        </w:rPr>
        <w:t>40</w:t>
      </w:r>
      <w:r w:rsidRPr="00271330">
        <w:rPr>
          <w:rFonts w:asciiTheme="majorBidi" w:hAnsiTheme="majorBidi" w:cstheme="majorBidi"/>
        </w:rPr>
        <w:t>(4), 884–898. https://doi.org/10.1111/risa.13428</w:t>
      </w:r>
    </w:p>
    <w:p w14:paraId="35FDFC1F"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U.S. Census Bureau. (2023). </w:t>
      </w:r>
      <w:r w:rsidRPr="00271330">
        <w:rPr>
          <w:rFonts w:asciiTheme="majorBidi" w:hAnsiTheme="majorBidi" w:cstheme="majorBidi"/>
          <w:i/>
          <w:iCs/>
        </w:rPr>
        <w:t>American Community Survey 5-Year Data (2009-2023)</w:t>
      </w:r>
      <w:r w:rsidRPr="00271330">
        <w:rPr>
          <w:rFonts w:asciiTheme="majorBidi" w:hAnsiTheme="majorBidi" w:cstheme="majorBidi"/>
        </w:rPr>
        <w:t>. Census.Gov. https://www.census.gov/data/developers/data-sets/acs-5year.html</w:t>
      </w:r>
    </w:p>
    <w:p w14:paraId="6BBE107E"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USACE. (2006). </w:t>
      </w:r>
      <w:r w:rsidRPr="00271330">
        <w:rPr>
          <w:rFonts w:asciiTheme="majorBidi" w:hAnsiTheme="majorBidi" w:cstheme="majorBidi"/>
          <w:i/>
          <w:iCs/>
        </w:rPr>
        <w:t>Depth-Damage Relationships for Structures, Contents, and Vehicles and Content-to-Structure Value Ratios (CSVR) in Support of the Donaldsonville to the Gulf, Louisiana, Feasibility Study</w:t>
      </w:r>
      <w:r w:rsidRPr="00271330">
        <w:rPr>
          <w:rFonts w:asciiTheme="majorBidi" w:hAnsiTheme="majorBidi" w:cstheme="majorBidi"/>
        </w:rPr>
        <w:t xml:space="preserve"> (Nos. DACW29-00-D-0001, Delivery Order No. 0038). U.S. Army Corps of Engineers, New Orleans District.</w:t>
      </w:r>
    </w:p>
    <w:p w14:paraId="758BACCE"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USACE. (2022). </w:t>
      </w:r>
      <w:r w:rsidRPr="00271330">
        <w:rPr>
          <w:rFonts w:asciiTheme="majorBidi" w:hAnsiTheme="majorBidi" w:cstheme="majorBidi"/>
          <w:i/>
          <w:iCs/>
        </w:rPr>
        <w:t>National Structure Inventory: Technical Documentation</w:t>
      </w:r>
      <w:r w:rsidRPr="00271330">
        <w:rPr>
          <w:rFonts w:asciiTheme="majorBidi" w:hAnsiTheme="majorBidi" w:cstheme="majorBidi"/>
        </w:rPr>
        <w:t>. U.S. Army Corps of Engineers, Hydrologic Engineering Center. https://www.hec.usace.army.mil/confluence/nsi/technicalreferences/2022/technical-documentation</w:t>
      </w:r>
    </w:p>
    <w:p w14:paraId="0A713E92"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USACE. (2024). </w:t>
      </w:r>
      <w:r w:rsidRPr="00271330">
        <w:rPr>
          <w:rFonts w:asciiTheme="majorBidi" w:hAnsiTheme="majorBidi" w:cstheme="majorBidi"/>
          <w:i/>
          <w:iCs/>
        </w:rPr>
        <w:t>Fact Sheet: Passaic River Mainstem and Tributaries, NJ</w:t>
      </w:r>
      <w:r w:rsidRPr="00271330">
        <w:rPr>
          <w:rFonts w:asciiTheme="majorBidi" w:hAnsiTheme="majorBidi" w:cstheme="majorBidi"/>
        </w:rPr>
        <w:t>. https://www.nan.usace.army.mil/Media/Fact-Sheets/Fact-Sheet-Article-View/Article/487436/fact-sheet-passaic-river-mainstem-and-tributaries-nj/</w:t>
      </w:r>
    </w:p>
    <w:p w14:paraId="357A1186"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Wang, L., Cui, S., Li, Y., Huang, H., Manandhar, B., </w:t>
      </w:r>
      <w:proofErr w:type="spellStart"/>
      <w:r w:rsidRPr="00271330">
        <w:rPr>
          <w:rFonts w:asciiTheme="majorBidi" w:hAnsiTheme="majorBidi" w:cstheme="majorBidi"/>
        </w:rPr>
        <w:t>Nitivattananon</w:t>
      </w:r>
      <w:proofErr w:type="spellEnd"/>
      <w:r w:rsidRPr="00271330">
        <w:rPr>
          <w:rFonts w:asciiTheme="majorBidi" w:hAnsiTheme="majorBidi" w:cstheme="majorBidi"/>
        </w:rPr>
        <w:t xml:space="preserve">, V., Fang, X., &amp; Huang, W. (2022). A review of </w:t>
      </w:r>
      <w:proofErr w:type="gramStart"/>
      <w:r w:rsidRPr="00271330">
        <w:rPr>
          <w:rFonts w:asciiTheme="majorBidi" w:hAnsiTheme="majorBidi" w:cstheme="majorBidi"/>
        </w:rPr>
        <w:t>the flood</w:t>
      </w:r>
      <w:proofErr w:type="gramEnd"/>
      <w:r w:rsidRPr="00271330">
        <w:rPr>
          <w:rFonts w:asciiTheme="majorBidi" w:hAnsiTheme="majorBidi" w:cstheme="majorBidi"/>
        </w:rPr>
        <w:t xml:space="preserve"> management: From flood control to flood resilience. </w:t>
      </w:r>
      <w:proofErr w:type="spellStart"/>
      <w:r w:rsidRPr="00271330">
        <w:rPr>
          <w:rFonts w:asciiTheme="majorBidi" w:hAnsiTheme="majorBidi" w:cstheme="majorBidi"/>
          <w:i/>
          <w:iCs/>
        </w:rPr>
        <w:t>Heliyon</w:t>
      </w:r>
      <w:proofErr w:type="spellEnd"/>
      <w:r w:rsidRPr="00271330">
        <w:rPr>
          <w:rFonts w:asciiTheme="majorBidi" w:hAnsiTheme="majorBidi" w:cstheme="majorBidi"/>
        </w:rPr>
        <w:t xml:space="preserve">, </w:t>
      </w:r>
      <w:r w:rsidRPr="00271330">
        <w:rPr>
          <w:rFonts w:asciiTheme="majorBidi" w:hAnsiTheme="majorBidi" w:cstheme="majorBidi"/>
          <w:i/>
          <w:iCs/>
        </w:rPr>
        <w:t>8</w:t>
      </w:r>
      <w:r w:rsidRPr="00271330">
        <w:rPr>
          <w:rFonts w:asciiTheme="majorBidi" w:hAnsiTheme="majorBidi" w:cstheme="majorBidi"/>
        </w:rPr>
        <w:t>(11), e11763. https://doi.org/10.1016/j.heliyon.2022.e11763</w:t>
      </w:r>
    </w:p>
    <w:p w14:paraId="26FF1B25" w14:textId="77777777" w:rsidR="00005EB0" w:rsidRPr="00271330" w:rsidRDefault="00005EB0" w:rsidP="00005EB0">
      <w:pPr>
        <w:pStyle w:val="ac"/>
        <w:rPr>
          <w:rFonts w:asciiTheme="majorBidi" w:hAnsiTheme="majorBidi" w:cstheme="majorBidi"/>
        </w:rPr>
      </w:pPr>
      <w:r w:rsidRPr="00271330">
        <w:rPr>
          <w:rFonts w:asciiTheme="majorBidi" w:hAnsiTheme="majorBidi" w:cstheme="majorBidi"/>
        </w:rPr>
        <w:t xml:space="preserve">Wilson, B., Tate, E., &amp; Emrich, C. T. (2021). Flood Recovery Outcomes and Disaster Assistance Barriers for Vulnerable Populations. </w:t>
      </w:r>
      <w:r w:rsidRPr="00271330">
        <w:rPr>
          <w:rFonts w:asciiTheme="majorBidi" w:hAnsiTheme="majorBidi" w:cstheme="majorBidi"/>
          <w:i/>
          <w:iCs/>
        </w:rPr>
        <w:t>Frontiers in Water</w:t>
      </w:r>
      <w:r w:rsidRPr="00271330">
        <w:rPr>
          <w:rFonts w:asciiTheme="majorBidi" w:hAnsiTheme="majorBidi" w:cstheme="majorBidi"/>
        </w:rPr>
        <w:t xml:space="preserve">, </w:t>
      </w:r>
      <w:r w:rsidRPr="00271330">
        <w:rPr>
          <w:rFonts w:asciiTheme="majorBidi" w:hAnsiTheme="majorBidi" w:cstheme="majorBidi"/>
          <w:i/>
          <w:iCs/>
        </w:rPr>
        <w:t>3</w:t>
      </w:r>
      <w:r w:rsidRPr="00271330">
        <w:rPr>
          <w:rFonts w:asciiTheme="majorBidi" w:hAnsiTheme="majorBidi" w:cstheme="majorBidi"/>
        </w:rPr>
        <w:t>, 752307. https://doi.org/10.3389/frwa.2021.752307</w:t>
      </w:r>
    </w:p>
    <w:p w14:paraId="51BD45D1" w14:textId="454D47D9" w:rsidR="00B71669" w:rsidRPr="00271330" w:rsidRDefault="004545FE" w:rsidP="005B487C">
      <w:pPr>
        <w:spacing w:line="360" w:lineRule="auto"/>
        <w:rPr>
          <w:rFonts w:asciiTheme="majorBidi" w:hAnsiTheme="majorBidi" w:cstheme="majorBidi"/>
          <w:bCs/>
        </w:rPr>
      </w:pPr>
      <w:r w:rsidRPr="00271330">
        <w:rPr>
          <w:rFonts w:asciiTheme="majorBidi" w:hAnsiTheme="majorBidi" w:cstheme="majorBidi"/>
          <w:bCs/>
        </w:rPr>
        <w:fldChar w:fldCharType="end"/>
      </w:r>
    </w:p>
    <w:sectPr w:rsidR="00B71669" w:rsidRPr="00271330" w:rsidSect="006E70DD">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2099D" w14:textId="77777777" w:rsidR="007B2A97" w:rsidRDefault="007B2A97" w:rsidP="001625CF">
      <w:pPr>
        <w:spacing w:line="240" w:lineRule="auto"/>
      </w:pPr>
      <w:r>
        <w:separator/>
      </w:r>
    </w:p>
  </w:endnote>
  <w:endnote w:type="continuationSeparator" w:id="0">
    <w:p w14:paraId="16ECE645" w14:textId="77777777" w:rsidR="007B2A97" w:rsidRDefault="007B2A97" w:rsidP="001625CF">
      <w:pPr>
        <w:spacing w:line="240" w:lineRule="auto"/>
      </w:pPr>
      <w:r>
        <w:continuationSeparator/>
      </w:r>
    </w:p>
  </w:endnote>
  <w:endnote w:type="continuationNotice" w:id="1">
    <w:p w14:paraId="5D9160C1" w14:textId="77777777" w:rsidR="007B2A97" w:rsidRDefault="007B2A9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ACC5C" w14:textId="77777777" w:rsidR="007B2A97" w:rsidRDefault="007B2A97" w:rsidP="001625CF">
      <w:pPr>
        <w:spacing w:line="240" w:lineRule="auto"/>
      </w:pPr>
      <w:r>
        <w:separator/>
      </w:r>
    </w:p>
  </w:footnote>
  <w:footnote w:type="continuationSeparator" w:id="0">
    <w:p w14:paraId="56285194" w14:textId="77777777" w:rsidR="007B2A97" w:rsidRDefault="007B2A97" w:rsidP="001625CF">
      <w:pPr>
        <w:spacing w:line="240" w:lineRule="auto"/>
      </w:pPr>
      <w:r>
        <w:continuationSeparator/>
      </w:r>
    </w:p>
  </w:footnote>
  <w:footnote w:type="continuationNotice" w:id="1">
    <w:p w14:paraId="024DD0A2" w14:textId="77777777" w:rsidR="007B2A97" w:rsidRDefault="007B2A97">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0CDC"/>
    <w:multiLevelType w:val="hybridMultilevel"/>
    <w:tmpl w:val="E622368A"/>
    <w:lvl w:ilvl="0" w:tplc="FFFFFFFF">
      <w:start w:val="1"/>
      <w:numFmt w:val="decimal"/>
      <w:lvlText w:val="Paragraph %1."/>
      <w:lvlJc w:val="left"/>
      <w:pPr>
        <w:ind w:left="144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589195E"/>
    <w:multiLevelType w:val="hybridMultilevel"/>
    <w:tmpl w:val="BEB01876"/>
    <w:lvl w:ilvl="0" w:tplc="C3FAF996">
      <w:start w:val="1"/>
      <w:numFmt w:val="decimal"/>
      <w:lvlText w:val="Paragraph %1."/>
      <w:lvlJc w:val="left"/>
      <w:pPr>
        <w:ind w:left="1440" w:hanging="480"/>
      </w:pPr>
      <w:rPr>
        <w:rFonts w:hint="eastAsia"/>
        <w:b w:val="0"/>
        <w:bCs/>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 w15:restartNumberingAfterBreak="0">
    <w:nsid w:val="05FB1580"/>
    <w:multiLevelType w:val="hybridMultilevel"/>
    <w:tmpl w:val="26F25CD6"/>
    <w:lvl w:ilvl="0" w:tplc="F3C2EBB8">
      <w:start w:val="1"/>
      <w:numFmt w:val="decimal"/>
      <w:lvlText w:val="6-2-%1"/>
      <w:lvlJc w:val="left"/>
      <w:pPr>
        <w:ind w:left="1680" w:hanging="480"/>
      </w:pPr>
      <w:rPr>
        <w:rFonts w:hint="eastAsia"/>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3" w15:restartNumberingAfterBreak="0">
    <w:nsid w:val="09C21133"/>
    <w:multiLevelType w:val="hybridMultilevel"/>
    <w:tmpl w:val="4A7CDEE6"/>
    <w:lvl w:ilvl="0" w:tplc="C608AD26">
      <w:start w:val="1"/>
      <w:numFmt w:val="decimal"/>
      <w:lvlText w:val="Paragraph %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0DB33959"/>
    <w:multiLevelType w:val="hybridMultilevel"/>
    <w:tmpl w:val="6360BC86"/>
    <w:lvl w:ilvl="0" w:tplc="FFFFFFFF">
      <w:start w:val="1"/>
      <w:numFmt w:val="decimal"/>
      <w:lvlText w:val="Paragraph %1."/>
      <w:lvlJc w:val="left"/>
      <w:pPr>
        <w:ind w:left="144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10E4207F"/>
    <w:multiLevelType w:val="hybridMultilevel"/>
    <w:tmpl w:val="A8A2E1EA"/>
    <w:lvl w:ilvl="0" w:tplc="BF42F6D2">
      <w:start w:val="1"/>
      <w:numFmt w:val="decimal"/>
      <w:lvlText w:val="3.1.%1."/>
      <w:lvlJc w:val="left"/>
      <w:pPr>
        <w:ind w:left="480" w:hanging="480"/>
      </w:pPr>
      <w:rPr>
        <w:rFonts w:ascii="Times New Roman" w:hAnsi="Times New Roman" w:hint="default"/>
        <w:b/>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13C4DEC"/>
    <w:multiLevelType w:val="hybridMultilevel"/>
    <w:tmpl w:val="21B0E036"/>
    <w:lvl w:ilvl="0" w:tplc="FFFFFFFF">
      <w:start w:val="1"/>
      <w:numFmt w:val="decimal"/>
      <w:lvlText w:val="Paragraph %1."/>
      <w:lvlJc w:val="left"/>
      <w:pPr>
        <w:ind w:left="1680" w:hanging="480"/>
      </w:pPr>
      <w:rPr>
        <w:rFonts w:hint="eastAsia"/>
      </w:rPr>
    </w:lvl>
    <w:lvl w:ilvl="1" w:tplc="FFFFFFFF" w:tentative="1">
      <w:start w:val="1"/>
      <w:numFmt w:val="ideographTraditional"/>
      <w:lvlText w:val="%2、"/>
      <w:lvlJc w:val="left"/>
      <w:pPr>
        <w:ind w:left="2160" w:hanging="480"/>
      </w:pPr>
    </w:lvl>
    <w:lvl w:ilvl="2" w:tplc="FFFFFFFF" w:tentative="1">
      <w:start w:val="1"/>
      <w:numFmt w:val="lowerRoman"/>
      <w:lvlText w:val="%3."/>
      <w:lvlJc w:val="right"/>
      <w:pPr>
        <w:ind w:left="2640" w:hanging="480"/>
      </w:pPr>
    </w:lvl>
    <w:lvl w:ilvl="3" w:tplc="FFFFFFFF" w:tentative="1">
      <w:start w:val="1"/>
      <w:numFmt w:val="decimal"/>
      <w:lvlText w:val="%4."/>
      <w:lvlJc w:val="left"/>
      <w:pPr>
        <w:ind w:left="3120" w:hanging="480"/>
      </w:pPr>
    </w:lvl>
    <w:lvl w:ilvl="4" w:tplc="FFFFFFFF" w:tentative="1">
      <w:start w:val="1"/>
      <w:numFmt w:val="ideographTraditional"/>
      <w:lvlText w:val="%5、"/>
      <w:lvlJc w:val="left"/>
      <w:pPr>
        <w:ind w:left="3600" w:hanging="480"/>
      </w:pPr>
    </w:lvl>
    <w:lvl w:ilvl="5" w:tplc="FFFFFFFF" w:tentative="1">
      <w:start w:val="1"/>
      <w:numFmt w:val="lowerRoman"/>
      <w:lvlText w:val="%6."/>
      <w:lvlJc w:val="right"/>
      <w:pPr>
        <w:ind w:left="4080" w:hanging="480"/>
      </w:pPr>
    </w:lvl>
    <w:lvl w:ilvl="6" w:tplc="FFFFFFFF" w:tentative="1">
      <w:start w:val="1"/>
      <w:numFmt w:val="decimal"/>
      <w:lvlText w:val="%7."/>
      <w:lvlJc w:val="left"/>
      <w:pPr>
        <w:ind w:left="4560" w:hanging="480"/>
      </w:pPr>
    </w:lvl>
    <w:lvl w:ilvl="7" w:tplc="FFFFFFFF" w:tentative="1">
      <w:start w:val="1"/>
      <w:numFmt w:val="ideographTraditional"/>
      <w:lvlText w:val="%8、"/>
      <w:lvlJc w:val="left"/>
      <w:pPr>
        <w:ind w:left="5040" w:hanging="480"/>
      </w:pPr>
    </w:lvl>
    <w:lvl w:ilvl="8" w:tplc="FFFFFFFF" w:tentative="1">
      <w:start w:val="1"/>
      <w:numFmt w:val="lowerRoman"/>
      <w:lvlText w:val="%9."/>
      <w:lvlJc w:val="right"/>
      <w:pPr>
        <w:ind w:left="5520" w:hanging="480"/>
      </w:pPr>
    </w:lvl>
  </w:abstractNum>
  <w:abstractNum w:abstractNumId="7" w15:restartNumberingAfterBreak="0">
    <w:nsid w:val="13D03CB6"/>
    <w:multiLevelType w:val="hybridMultilevel"/>
    <w:tmpl w:val="F4F4D734"/>
    <w:lvl w:ilvl="0" w:tplc="660C76A0">
      <w:start w:val="1"/>
      <w:numFmt w:val="decimal"/>
      <w:lvlText w:val="4-%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 w15:restartNumberingAfterBreak="0">
    <w:nsid w:val="15701BC7"/>
    <w:multiLevelType w:val="hybridMultilevel"/>
    <w:tmpl w:val="8FA8B7F8"/>
    <w:lvl w:ilvl="0" w:tplc="FFFFFFFF">
      <w:start w:val="1"/>
      <w:numFmt w:val="decimal"/>
      <w:lvlText w:val="4-%1."/>
      <w:lvlJc w:val="left"/>
      <w:pPr>
        <w:ind w:left="1200" w:hanging="480"/>
      </w:pPr>
      <w:rPr>
        <w:rFonts w:hint="eastAsia"/>
      </w:rPr>
    </w:lvl>
    <w:lvl w:ilvl="1" w:tplc="FFFFFFFF">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9" w15:restartNumberingAfterBreak="0">
    <w:nsid w:val="18F8236C"/>
    <w:multiLevelType w:val="hybridMultilevel"/>
    <w:tmpl w:val="8D9E5604"/>
    <w:lvl w:ilvl="0" w:tplc="FFFFFFFF">
      <w:start w:val="1"/>
      <w:numFmt w:val="decimal"/>
      <w:lvlText w:val="Paragraph %1."/>
      <w:lvlJc w:val="left"/>
      <w:pPr>
        <w:ind w:left="144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1BB23106"/>
    <w:multiLevelType w:val="hybridMultilevel"/>
    <w:tmpl w:val="3EC8E446"/>
    <w:lvl w:ilvl="0" w:tplc="FFFFFFFF">
      <w:start w:val="1"/>
      <w:numFmt w:val="decimal"/>
      <w:lvlText w:val="Paragraph %1."/>
      <w:lvlJc w:val="left"/>
      <w:pPr>
        <w:ind w:left="144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254A4DCE"/>
    <w:multiLevelType w:val="hybridMultilevel"/>
    <w:tmpl w:val="EDBE13F0"/>
    <w:lvl w:ilvl="0" w:tplc="FFFFFFFF">
      <w:start w:val="1"/>
      <w:numFmt w:val="decimal"/>
      <w:lvlText w:val="Paragraph %1."/>
      <w:lvlJc w:val="left"/>
      <w:pPr>
        <w:ind w:left="1440" w:hanging="480"/>
      </w:pPr>
      <w:rPr>
        <w:rFonts w:hint="eastAsia"/>
      </w:rPr>
    </w:lvl>
    <w:lvl w:ilvl="1" w:tplc="FFFFFFFF">
      <w:start w:val="1"/>
      <w:numFmt w:val="decimal"/>
      <w:lvlText w:val="Paragraph %2."/>
      <w:lvlJc w:val="left"/>
      <w:pPr>
        <w:ind w:left="1920" w:hanging="480"/>
      </w:pPr>
      <w:rPr>
        <w:rFonts w:hint="eastAsia"/>
      </w:r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2" w15:restartNumberingAfterBreak="0">
    <w:nsid w:val="25B55C51"/>
    <w:multiLevelType w:val="hybridMultilevel"/>
    <w:tmpl w:val="CA640472"/>
    <w:lvl w:ilvl="0" w:tplc="4DCE60DC">
      <w:start w:val="1"/>
      <w:numFmt w:val="decimal"/>
      <w:lvlText w:val="3.3.%1."/>
      <w:lvlJc w:val="left"/>
      <w:pPr>
        <w:ind w:left="960" w:hanging="480"/>
      </w:pPr>
      <w:rPr>
        <w:rFonts w:ascii="Times New Roman" w:hAnsi="Times New Roman" w:hint="default"/>
        <w:b/>
        <w:i w:val="0"/>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27B92BDA"/>
    <w:multiLevelType w:val="hybridMultilevel"/>
    <w:tmpl w:val="D7EC0398"/>
    <w:lvl w:ilvl="0" w:tplc="FFFFFFFF">
      <w:start w:val="1"/>
      <w:numFmt w:val="decimal"/>
      <w:lvlText w:val="Paragraph %1."/>
      <w:lvlJc w:val="left"/>
      <w:pPr>
        <w:ind w:left="144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2B7550BB"/>
    <w:multiLevelType w:val="hybridMultilevel"/>
    <w:tmpl w:val="124E919E"/>
    <w:lvl w:ilvl="0" w:tplc="FFFFFFFF">
      <w:start w:val="1"/>
      <w:numFmt w:val="decimal"/>
      <w:lvlText w:val="Paragraph %1."/>
      <w:lvlJc w:val="left"/>
      <w:pPr>
        <w:ind w:left="1680" w:hanging="480"/>
      </w:pPr>
      <w:rPr>
        <w:rFonts w:hint="eastAsia"/>
      </w:rPr>
    </w:lvl>
    <w:lvl w:ilvl="1" w:tplc="FFFFFFFF" w:tentative="1">
      <w:start w:val="1"/>
      <w:numFmt w:val="ideographTraditional"/>
      <w:lvlText w:val="%2、"/>
      <w:lvlJc w:val="left"/>
      <w:pPr>
        <w:ind w:left="2160" w:hanging="480"/>
      </w:pPr>
    </w:lvl>
    <w:lvl w:ilvl="2" w:tplc="FFFFFFFF" w:tentative="1">
      <w:start w:val="1"/>
      <w:numFmt w:val="lowerRoman"/>
      <w:lvlText w:val="%3."/>
      <w:lvlJc w:val="right"/>
      <w:pPr>
        <w:ind w:left="2640" w:hanging="480"/>
      </w:pPr>
    </w:lvl>
    <w:lvl w:ilvl="3" w:tplc="FFFFFFFF" w:tentative="1">
      <w:start w:val="1"/>
      <w:numFmt w:val="decimal"/>
      <w:lvlText w:val="%4."/>
      <w:lvlJc w:val="left"/>
      <w:pPr>
        <w:ind w:left="3120" w:hanging="480"/>
      </w:pPr>
    </w:lvl>
    <w:lvl w:ilvl="4" w:tplc="FFFFFFFF" w:tentative="1">
      <w:start w:val="1"/>
      <w:numFmt w:val="ideographTraditional"/>
      <w:lvlText w:val="%5、"/>
      <w:lvlJc w:val="left"/>
      <w:pPr>
        <w:ind w:left="3600" w:hanging="480"/>
      </w:pPr>
    </w:lvl>
    <w:lvl w:ilvl="5" w:tplc="FFFFFFFF" w:tentative="1">
      <w:start w:val="1"/>
      <w:numFmt w:val="lowerRoman"/>
      <w:lvlText w:val="%6."/>
      <w:lvlJc w:val="right"/>
      <w:pPr>
        <w:ind w:left="4080" w:hanging="480"/>
      </w:pPr>
    </w:lvl>
    <w:lvl w:ilvl="6" w:tplc="FFFFFFFF" w:tentative="1">
      <w:start w:val="1"/>
      <w:numFmt w:val="decimal"/>
      <w:lvlText w:val="%7."/>
      <w:lvlJc w:val="left"/>
      <w:pPr>
        <w:ind w:left="4560" w:hanging="480"/>
      </w:pPr>
    </w:lvl>
    <w:lvl w:ilvl="7" w:tplc="FFFFFFFF" w:tentative="1">
      <w:start w:val="1"/>
      <w:numFmt w:val="ideographTraditional"/>
      <w:lvlText w:val="%8、"/>
      <w:lvlJc w:val="left"/>
      <w:pPr>
        <w:ind w:left="5040" w:hanging="480"/>
      </w:pPr>
    </w:lvl>
    <w:lvl w:ilvl="8" w:tplc="FFFFFFFF" w:tentative="1">
      <w:start w:val="1"/>
      <w:numFmt w:val="lowerRoman"/>
      <w:lvlText w:val="%9."/>
      <w:lvlJc w:val="right"/>
      <w:pPr>
        <w:ind w:left="5520" w:hanging="480"/>
      </w:pPr>
    </w:lvl>
  </w:abstractNum>
  <w:abstractNum w:abstractNumId="15" w15:restartNumberingAfterBreak="0">
    <w:nsid w:val="2EF17CCF"/>
    <w:multiLevelType w:val="hybridMultilevel"/>
    <w:tmpl w:val="402C30AC"/>
    <w:lvl w:ilvl="0" w:tplc="FFFFFFFF">
      <w:start w:val="1"/>
      <w:numFmt w:val="decimal"/>
      <w:lvlText w:val="Paragraph %1."/>
      <w:lvlJc w:val="left"/>
      <w:pPr>
        <w:ind w:left="1440" w:hanging="480"/>
      </w:pPr>
      <w:rPr>
        <w:rFonts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6" w15:restartNumberingAfterBreak="0">
    <w:nsid w:val="311A7F05"/>
    <w:multiLevelType w:val="hybridMultilevel"/>
    <w:tmpl w:val="6B46B6B6"/>
    <w:lvl w:ilvl="0" w:tplc="FFFFFFFF">
      <w:start w:val="1"/>
      <w:numFmt w:val="decimal"/>
      <w:lvlText w:val="Paragraph %1."/>
      <w:lvlJc w:val="left"/>
      <w:pPr>
        <w:ind w:left="1440" w:hanging="480"/>
      </w:pPr>
      <w:rPr>
        <w:rFonts w:hint="eastAsia"/>
        <w:b w:val="0"/>
        <w:bCs/>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7" w15:restartNumberingAfterBreak="0">
    <w:nsid w:val="3B270F4A"/>
    <w:multiLevelType w:val="hybridMultilevel"/>
    <w:tmpl w:val="6B46B6B6"/>
    <w:lvl w:ilvl="0" w:tplc="F7E83592">
      <w:start w:val="1"/>
      <w:numFmt w:val="decimal"/>
      <w:lvlText w:val="Paragraph %1."/>
      <w:lvlJc w:val="left"/>
      <w:pPr>
        <w:ind w:left="1440" w:hanging="480"/>
      </w:pPr>
      <w:rPr>
        <w:rFonts w:hint="eastAsia"/>
        <w:b w:val="0"/>
        <w:bCs/>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8" w15:restartNumberingAfterBreak="0">
    <w:nsid w:val="3BBE29C6"/>
    <w:multiLevelType w:val="hybridMultilevel"/>
    <w:tmpl w:val="AA4E270E"/>
    <w:lvl w:ilvl="0" w:tplc="FFFFFFFF">
      <w:start w:val="1"/>
      <w:numFmt w:val="decimal"/>
      <w:lvlText w:val="Paragraph %1."/>
      <w:lvlJc w:val="left"/>
      <w:pPr>
        <w:ind w:left="1615" w:hanging="480"/>
      </w:pPr>
      <w:rPr>
        <w:rFonts w:hint="eastAsia"/>
        <w:b w:val="0"/>
        <w:bCs/>
      </w:rPr>
    </w:lvl>
    <w:lvl w:ilvl="1" w:tplc="FFFFFFFF" w:tentative="1">
      <w:start w:val="1"/>
      <w:numFmt w:val="ideographTraditional"/>
      <w:lvlText w:val="%2、"/>
      <w:lvlJc w:val="left"/>
      <w:pPr>
        <w:ind w:left="2095" w:hanging="480"/>
      </w:pPr>
    </w:lvl>
    <w:lvl w:ilvl="2" w:tplc="FFFFFFFF" w:tentative="1">
      <w:start w:val="1"/>
      <w:numFmt w:val="lowerRoman"/>
      <w:lvlText w:val="%3."/>
      <w:lvlJc w:val="right"/>
      <w:pPr>
        <w:ind w:left="2575" w:hanging="480"/>
      </w:pPr>
    </w:lvl>
    <w:lvl w:ilvl="3" w:tplc="FFFFFFFF" w:tentative="1">
      <w:start w:val="1"/>
      <w:numFmt w:val="decimal"/>
      <w:lvlText w:val="%4."/>
      <w:lvlJc w:val="left"/>
      <w:pPr>
        <w:ind w:left="3055" w:hanging="480"/>
      </w:pPr>
    </w:lvl>
    <w:lvl w:ilvl="4" w:tplc="FFFFFFFF" w:tentative="1">
      <w:start w:val="1"/>
      <w:numFmt w:val="ideographTraditional"/>
      <w:lvlText w:val="%5、"/>
      <w:lvlJc w:val="left"/>
      <w:pPr>
        <w:ind w:left="3535" w:hanging="480"/>
      </w:pPr>
    </w:lvl>
    <w:lvl w:ilvl="5" w:tplc="FFFFFFFF" w:tentative="1">
      <w:start w:val="1"/>
      <w:numFmt w:val="lowerRoman"/>
      <w:lvlText w:val="%6."/>
      <w:lvlJc w:val="right"/>
      <w:pPr>
        <w:ind w:left="4015" w:hanging="480"/>
      </w:pPr>
    </w:lvl>
    <w:lvl w:ilvl="6" w:tplc="FFFFFFFF" w:tentative="1">
      <w:start w:val="1"/>
      <w:numFmt w:val="decimal"/>
      <w:lvlText w:val="%7."/>
      <w:lvlJc w:val="left"/>
      <w:pPr>
        <w:ind w:left="4495" w:hanging="480"/>
      </w:pPr>
    </w:lvl>
    <w:lvl w:ilvl="7" w:tplc="FFFFFFFF" w:tentative="1">
      <w:start w:val="1"/>
      <w:numFmt w:val="ideographTraditional"/>
      <w:lvlText w:val="%8、"/>
      <w:lvlJc w:val="left"/>
      <w:pPr>
        <w:ind w:left="4975" w:hanging="480"/>
      </w:pPr>
    </w:lvl>
    <w:lvl w:ilvl="8" w:tplc="FFFFFFFF" w:tentative="1">
      <w:start w:val="1"/>
      <w:numFmt w:val="lowerRoman"/>
      <w:lvlText w:val="%9."/>
      <w:lvlJc w:val="right"/>
      <w:pPr>
        <w:ind w:left="5455" w:hanging="480"/>
      </w:pPr>
    </w:lvl>
  </w:abstractNum>
  <w:abstractNum w:abstractNumId="19" w15:restartNumberingAfterBreak="0">
    <w:nsid w:val="3D1636C8"/>
    <w:multiLevelType w:val="hybridMultilevel"/>
    <w:tmpl w:val="A584665E"/>
    <w:lvl w:ilvl="0" w:tplc="148C8EBE">
      <w:start w:val="1"/>
      <w:numFmt w:val="decimal"/>
      <w:lvlText w:val="2-%1"/>
      <w:lvlJc w:val="left"/>
      <w:pPr>
        <w:ind w:left="120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D5659A6"/>
    <w:multiLevelType w:val="hybridMultilevel"/>
    <w:tmpl w:val="16EA507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DD71A9B"/>
    <w:multiLevelType w:val="hybridMultilevel"/>
    <w:tmpl w:val="DCD0B50A"/>
    <w:lvl w:ilvl="0" w:tplc="148C8EBE">
      <w:start w:val="1"/>
      <w:numFmt w:val="decimal"/>
      <w:lvlText w:val="2-%1"/>
      <w:lvlJc w:val="left"/>
      <w:pPr>
        <w:ind w:left="1200" w:hanging="480"/>
      </w:pPr>
      <w:rPr>
        <w:rFonts w:hint="eastAsia"/>
      </w:rPr>
    </w:lvl>
    <w:lvl w:ilvl="1" w:tplc="04090019" w:tentative="1">
      <w:start w:val="1"/>
      <w:numFmt w:val="ideographTraditional"/>
      <w:lvlText w:val="%2、"/>
      <w:lvlJc w:val="left"/>
      <w:pPr>
        <w:ind w:left="1680" w:hanging="480"/>
      </w:pPr>
    </w:lvl>
    <w:lvl w:ilvl="2" w:tplc="0409001B">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2" w15:restartNumberingAfterBreak="0">
    <w:nsid w:val="3EBB4EC1"/>
    <w:multiLevelType w:val="hybridMultilevel"/>
    <w:tmpl w:val="25967556"/>
    <w:lvl w:ilvl="0" w:tplc="8F58CBAA">
      <w:start w:val="1"/>
      <w:numFmt w:val="decimal"/>
      <w:lvlText w:val="4.%1."/>
      <w:lvlJc w:val="left"/>
      <w:pPr>
        <w:ind w:left="480" w:hanging="480"/>
      </w:pPr>
      <w:rPr>
        <w:rFonts w:ascii="Times New Roman" w:hAnsi="Times New Roman" w:hint="default"/>
        <w:b/>
        <w:i w:val="0"/>
        <w:sz w:val="24"/>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166265B"/>
    <w:multiLevelType w:val="hybridMultilevel"/>
    <w:tmpl w:val="4FD03CA0"/>
    <w:lvl w:ilvl="0" w:tplc="C608AD26">
      <w:start w:val="1"/>
      <w:numFmt w:val="decimal"/>
      <w:lvlText w:val="Paragraph %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4" w15:restartNumberingAfterBreak="0">
    <w:nsid w:val="41A80178"/>
    <w:multiLevelType w:val="hybridMultilevel"/>
    <w:tmpl w:val="8D9E5604"/>
    <w:lvl w:ilvl="0" w:tplc="C608AD26">
      <w:start w:val="1"/>
      <w:numFmt w:val="decimal"/>
      <w:lvlText w:val="Paragraph %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596552C"/>
    <w:multiLevelType w:val="hybridMultilevel"/>
    <w:tmpl w:val="929E3640"/>
    <w:lvl w:ilvl="0" w:tplc="C608AD26">
      <w:start w:val="1"/>
      <w:numFmt w:val="decimal"/>
      <w:lvlText w:val="Paragraph %1."/>
      <w:lvlJc w:val="left"/>
      <w:pPr>
        <w:ind w:left="1680" w:hanging="480"/>
      </w:pPr>
      <w:rPr>
        <w:rFonts w:hint="eastAsia"/>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26" w15:restartNumberingAfterBreak="0">
    <w:nsid w:val="45B57C10"/>
    <w:multiLevelType w:val="hybridMultilevel"/>
    <w:tmpl w:val="CC124C68"/>
    <w:lvl w:ilvl="0" w:tplc="FFFFFFFF">
      <w:start w:val="1"/>
      <w:numFmt w:val="decimal"/>
      <w:lvlText w:val="Paragraph %1."/>
      <w:lvlJc w:val="left"/>
      <w:pPr>
        <w:ind w:left="1440" w:hanging="480"/>
      </w:pPr>
      <w:rPr>
        <w:rFonts w:hint="eastAsia"/>
      </w:rPr>
    </w:lvl>
    <w:lvl w:ilvl="1" w:tplc="FFFFFFFF">
      <w:start w:val="1"/>
      <w:numFmt w:val="decimal"/>
      <w:lvlText w:val="Paragraph %2."/>
      <w:lvlJc w:val="left"/>
      <w:pPr>
        <w:ind w:left="1920" w:hanging="480"/>
      </w:pPr>
      <w:rPr>
        <w:rFonts w:hint="eastAsia"/>
      </w:r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7" w15:restartNumberingAfterBreak="0">
    <w:nsid w:val="4BAA049D"/>
    <w:multiLevelType w:val="hybridMultilevel"/>
    <w:tmpl w:val="F314D6F2"/>
    <w:lvl w:ilvl="0" w:tplc="49165966">
      <w:start w:val="1"/>
      <w:numFmt w:val="decimal"/>
      <w:lvlText w:val="3.2.%1."/>
      <w:lvlJc w:val="left"/>
      <w:pPr>
        <w:ind w:left="1440" w:hanging="480"/>
      </w:pPr>
      <w:rPr>
        <w:rFonts w:ascii="Times New Roman" w:hAnsi="Times New Roman" w:hint="default"/>
        <w:b/>
        <w:i w:val="0"/>
        <w:sz w:val="24"/>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8" w15:restartNumberingAfterBreak="0">
    <w:nsid w:val="4E431F19"/>
    <w:multiLevelType w:val="hybridMultilevel"/>
    <w:tmpl w:val="8AB8361C"/>
    <w:lvl w:ilvl="0" w:tplc="7480E124">
      <w:start w:val="1"/>
      <w:numFmt w:val="decimal"/>
      <w:lvlText w:val="3.%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25125D8"/>
    <w:multiLevelType w:val="hybridMultilevel"/>
    <w:tmpl w:val="AFCA81FC"/>
    <w:lvl w:ilvl="0" w:tplc="FFFFFFFF">
      <w:start w:val="1"/>
      <w:numFmt w:val="decimal"/>
      <w:lvlText w:val="Paragraph %1."/>
      <w:lvlJc w:val="left"/>
      <w:pPr>
        <w:ind w:left="1440" w:hanging="480"/>
      </w:pPr>
      <w:rPr>
        <w:rFonts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30" w15:restartNumberingAfterBreak="0">
    <w:nsid w:val="56D15000"/>
    <w:multiLevelType w:val="hybridMultilevel"/>
    <w:tmpl w:val="6B46B6B6"/>
    <w:lvl w:ilvl="0" w:tplc="FFFFFFFF">
      <w:start w:val="1"/>
      <w:numFmt w:val="decimal"/>
      <w:lvlText w:val="Paragraph %1."/>
      <w:lvlJc w:val="left"/>
      <w:pPr>
        <w:ind w:left="1440" w:hanging="480"/>
      </w:pPr>
      <w:rPr>
        <w:rFonts w:hint="eastAsia"/>
        <w:b w:val="0"/>
        <w:bCs/>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31" w15:restartNumberingAfterBreak="0">
    <w:nsid w:val="580F08A0"/>
    <w:multiLevelType w:val="hybridMultilevel"/>
    <w:tmpl w:val="39FE4B2A"/>
    <w:lvl w:ilvl="0" w:tplc="F3C2EBB8">
      <w:start w:val="1"/>
      <w:numFmt w:val="decimal"/>
      <w:lvlText w:val="6-2-%1"/>
      <w:lvlJc w:val="left"/>
      <w:pPr>
        <w:ind w:left="2880" w:hanging="480"/>
      </w:pPr>
      <w:rPr>
        <w:rFonts w:hint="eastAsia"/>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84E6893"/>
    <w:multiLevelType w:val="hybridMultilevel"/>
    <w:tmpl w:val="EC9CA36E"/>
    <w:lvl w:ilvl="0" w:tplc="FFFFFFFF">
      <w:start w:val="1"/>
      <w:numFmt w:val="decimal"/>
      <w:lvlText w:val="Paragraph %1."/>
      <w:lvlJc w:val="left"/>
      <w:pPr>
        <w:ind w:left="1440" w:hanging="480"/>
      </w:pPr>
      <w:rPr>
        <w:rFonts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33" w15:restartNumberingAfterBreak="0">
    <w:nsid w:val="5AC86E05"/>
    <w:multiLevelType w:val="multilevel"/>
    <w:tmpl w:val="EFDA2DC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15:restartNumberingAfterBreak="0">
    <w:nsid w:val="5B9A66DC"/>
    <w:multiLevelType w:val="hybridMultilevel"/>
    <w:tmpl w:val="98D0D4DC"/>
    <w:lvl w:ilvl="0" w:tplc="296EA9A0">
      <w:start w:val="1"/>
      <w:numFmt w:val="decimal"/>
      <w:lvlText w:val="5.%1."/>
      <w:lvlJc w:val="left"/>
      <w:pPr>
        <w:ind w:left="480" w:hanging="480"/>
      </w:pPr>
      <w:rPr>
        <w:rFonts w:ascii="Times New Roman" w:hAnsi="Times New Roman" w:hint="default"/>
        <w:b/>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5D4E3D47"/>
    <w:multiLevelType w:val="hybridMultilevel"/>
    <w:tmpl w:val="AA4E270E"/>
    <w:lvl w:ilvl="0" w:tplc="8F764F1E">
      <w:start w:val="1"/>
      <w:numFmt w:val="decimal"/>
      <w:lvlText w:val="Paragraph %1."/>
      <w:lvlJc w:val="left"/>
      <w:pPr>
        <w:ind w:left="1615" w:hanging="480"/>
      </w:pPr>
      <w:rPr>
        <w:rFonts w:hint="eastAsia"/>
        <w:b w:val="0"/>
        <w:bCs/>
      </w:rPr>
    </w:lvl>
    <w:lvl w:ilvl="1" w:tplc="FFFFFFFF" w:tentative="1">
      <w:start w:val="1"/>
      <w:numFmt w:val="ideographTraditional"/>
      <w:lvlText w:val="%2、"/>
      <w:lvlJc w:val="left"/>
      <w:pPr>
        <w:ind w:left="2095" w:hanging="480"/>
      </w:pPr>
    </w:lvl>
    <w:lvl w:ilvl="2" w:tplc="FFFFFFFF" w:tentative="1">
      <w:start w:val="1"/>
      <w:numFmt w:val="lowerRoman"/>
      <w:lvlText w:val="%3."/>
      <w:lvlJc w:val="right"/>
      <w:pPr>
        <w:ind w:left="2575" w:hanging="480"/>
      </w:pPr>
    </w:lvl>
    <w:lvl w:ilvl="3" w:tplc="FFFFFFFF" w:tentative="1">
      <w:start w:val="1"/>
      <w:numFmt w:val="decimal"/>
      <w:lvlText w:val="%4."/>
      <w:lvlJc w:val="left"/>
      <w:pPr>
        <w:ind w:left="3055" w:hanging="480"/>
      </w:pPr>
    </w:lvl>
    <w:lvl w:ilvl="4" w:tplc="FFFFFFFF" w:tentative="1">
      <w:start w:val="1"/>
      <w:numFmt w:val="ideographTraditional"/>
      <w:lvlText w:val="%5、"/>
      <w:lvlJc w:val="left"/>
      <w:pPr>
        <w:ind w:left="3535" w:hanging="480"/>
      </w:pPr>
    </w:lvl>
    <w:lvl w:ilvl="5" w:tplc="FFFFFFFF" w:tentative="1">
      <w:start w:val="1"/>
      <w:numFmt w:val="lowerRoman"/>
      <w:lvlText w:val="%6."/>
      <w:lvlJc w:val="right"/>
      <w:pPr>
        <w:ind w:left="4015" w:hanging="480"/>
      </w:pPr>
    </w:lvl>
    <w:lvl w:ilvl="6" w:tplc="FFFFFFFF" w:tentative="1">
      <w:start w:val="1"/>
      <w:numFmt w:val="decimal"/>
      <w:lvlText w:val="%7."/>
      <w:lvlJc w:val="left"/>
      <w:pPr>
        <w:ind w:left="4495" w:hanging="480"/>
      </w:pPr>
    </w:lvl>
    <w:lvl w:ilvl="7" w:tplc="FFFFFFFF" w:tentative="1">
      <w:start w:val="1"/>
      <w:numFmt w:val="ideographTraditional"/>
      <w:lvlText w:val="%8、"/>
      <w:lvlJc w:val="left"/>
      <w:pPr>
        <w:ind w:left="4975" w:hanging="480"/>
      </w:pPr>
    </w:lvl>
    <w:lvl w:ilvl="8" w:tplc="FFFFFFFF" w:tentative="1">
      <w:start w:val="1"/>
      <w:numFmt w:val="lowerRoman"/>
      <w:lvlText w:val="%9."/>
      <w:lvlJc w:val="right"/>
      <w:pPr>
        <w:ind w:left="5455" w:hanging="480"/>
      </w:pPr>
    </w:lvl>
  </w:abstractNum>
  <w:abstractNum w:abstractNumId="36" w15:restartNumberingAfterBreak="0">
    <w:nsid w:val="5D88654F"/>
    <w:multiLevelType w:val="hybridMultilevel"/>
    <w:tmpl w:val="7EA4BD9C"/>
    <w:lvl w:ilvl="0" w:tplc="6E0AD6E4">
      <w:start w:val="1"/>
      <w:numFmt w:val="decimal"/>
      <w:lvlText w:val="3-%1"/>
      <w:lvlJc w:val="left"/>
      <w:pPr>
        <w:ind w:left="1200" w:hanging="480"/>
      </w:pPr>
      <w:rPr>
        <w:rFonts w:hint="eastAsia"/>
      </w:rPr>
    </w:lvl>
    <w:lvl w:ilvl="1" w:tplc="04090019">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7" w15:restartNumberingAfterBreak="0">
    <w:nsid w:val="612A5C14"/>
    <w:multiLevelType w:val="hybridMultilevel"/>
    <w:tmpl w:val="E5E417BC"/>
    <w:lvl w:ilvl="0" w:tplc="6AAA869C">
      <w:start w:val="1"/>
      <w:numFmt w:val="decimal"/>
      <w:lvlText w:val="1-%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8" w15:restartNumberingAfterBreak="0">
    <w:nsid w:val="67C427C0"/>
    <w:multiLevelType w:val="hybridMultilevel"/>
    <w:tmpl w:val="9F0E7A20"/>
    <w:lvl w:ilvl="0" w:tplc="41D032F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84209EC"/>
    <w:multiLevelType w:val="hybridMultilevel"/>
    <w:tmpl w:val="CC124C68"/>
    <w:lvl w:ilvl="0" w:tplc="C608AD26">
      <w:start w:val="1"/>
      <w:numFmt w:val="decimal"/>
      <w:lvlText w:val="Paragraph %1."/>
      <w:lvlJc w:val="left"/>
      <w:pPr>
        <w:ind w:left="1440" w:hanging="480"/>
      </w:pPr>
      <w:rPr>
        <w:rFonts w:hint="eastAsia"/>
      </w:rPr>
    </w:lvl>
    <w:lvl w:ilvl="1" w:tplc="C608AD26">
      <w:start w:val="1"/>
      <w:numFmt w:val="decimal"/>
      <w:lvlText w:val="Paragraph %2."/>
      <w:lvlJc w:val="left"/>
      <w:pPr>
        <w:ind w:left="1920" w:hanging="480"/>
      </w:pPr>
      <w:rPr>
        <w:rFonts w:hint="eastAsia"/>
      </w:r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0" w15:restartNumberingAfterBreak="0">
    <w:nsid w:val="6D651953"/>
    <w:multiLevelType w:val="hybridMultilevel"/>
    <w:tmpl w:val="1DAEFE86"/>
    <w:lvl w:ilvl="0" w:tplc="148C8EBE">
      <w:start w:val="1"/>
      <w:numFmt w:val="decimal"/>
      <w:lvlText w:val="2-%1"/>
      <w:lvlJc w:val="left"/>
      <w:pPr>
        <w:ind w:left="1190" w:hanging="480"/>
      </w:pPr>
      <w:rPr>
        <w:rFonts w:hint="eastAsia"/>
      </w:rPr>
    </w:lvl>
    <w:lvl w:ilvl="1" w:tplc="04090019" w:tentative="1">
      <w:start w:val="1"/>
      <w:numFmt w:val="ideographTraditional"/>
      <w:lvlText w:val="%2、"/>
      <w:lvlJc w:val="left"/>
      <w:pPr>
        <w:ind w:left="1670" w:hanging="480"/>
      </w:pPr>
    </w:lvl>
    <w:lvl w:ilvl="2" w:tplc="0409001B" w:tentative="1">
      <w:start w:val="1"/>
      <w:numFmt w:val="lowerRoman"/>
      <w:lvlText w:val="%3."/>
      <w:lvlJc w:val="right"/>
      <w:pPr>
        <w:ind w:left="2150" w:hanging="480"/>
      </w:pPr>
    </w:lvl>
    <w:lvl w:ilvl="3" w:tplc="0409000F" w:tentative="1">
      <w:start w:val="1"/>
      <w:numFmt w:val="decimal"/>
      <w:lvlText w:val="%4."/>
      <w:lvlJc w:val="left"/>
      <w:pPr>
        <w:ind w:left="2630" w:hanging="480"/>
      </w:pPr>
    </w:lvl>
    <w:lvl w:ilvl="4" w:tplc="04090019" w:tentative="1">
      <w:start w:val="1"/>
      <w:numFmt w:val="ideographTraditional"/>
      <w:lvlText w:val="%5、"/>
      <w:lvlJc w:val="left"/>
      <w:pPr>
        <w:ind w:left="3110" w:hanging="480"/>
      </w:pPr>
    </w:lvl>
    <w:lvl w:ilvl="5" w:tplc="0409001B" w:tentative="1">
      <w:start w:val="1"/>
      <w:numFmt w:val="lowerRoman"/>
      <w:lvlText w:val="%6."/>
      <w:lvlJc w:val="right"/>
      <w:pPr>
        <w:ind w:left="3590" w:hanging="480"/>
      </w:pPr>
    </w:lvl>
    <w:lvl w:ilvl="6" w:tplc="0409000F" w:tentative="1">
      <w:start w:val="1"/>
      <w:numFmt w:val="decimal"/>
      <w:lvlText w:val="%7."/>
      <w:lvlJc w:val="left"/>
      <w:pPr>
        <w:ind w:left="4070" w:hanging="480"/>
      </w:pPr>
    </w:lvl>
    <w:lvl w:ilvl="7" w:tplc="04090019" w:tentative="1">
      <w:start w:val="1"/>
      <w:numFmt w:val="ideographTraditional"/>
      <w:lvlText w:val="%8、"/>
      <w:lvlJc w:val="left"/>
      <w:pPr>
        <w:ind w:left="4550" w:hanging="480"/>
      </w:pPr>
    </w:lvl>
    <w:lvl w:ilvl="8" w:tplc="0409001B" w:tentative="1">
      <w:start w:val="1"/>
      <w:numFmt w:val="lowerRoman"/>
      <w:lvlText w:val="%9."/>
      <w:lvlJc w:val="right"/>
      <w:pPr>
        <w:ind w:left="5030" w:hanging="480"/>
      </w:pPr>
    </w:lvl>
  </w:abstractNum>
  <w:abstractNum w:abstractNumId="41" w15:restartNumberingAfterBreak="0">
    <w:nsid w:val="725E4538"/>
    <w:multiLevelType w:val="hybridMultilevel"/>
    <w:tmpl w:val="C1BA8FB8"/>
    <w:lvl w:ilvl="0" w:tplc="49165966">
      <w:start w:val="1"/>
      <w:numFmt w:val="decimal"/>
      <w:lvlText w:val="3.2.%1."/>
      <w:lvlJc w:val="left"/>
      <w:pPr>
        <w:ind w:left="960" w:hanging="480"/>
      </w:pPr>
      <w:rPr>
        <w:rFonts w:ascii="Times New Roman" w:hAnsi="Times New Roman" w:hint="default"/>
        <w:b/>
        <w:i w:val="0"/>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2" w15:restartNumberingAfterBreak="0">
    <w:nsid w:val="79783B27"/>
    <w:multiLevelType w:val="hybridMultilevel"/>
    <w:tmpl w:val="7F56A7BC"/>
    <w:lvl w:ilvl="0" w:tplc="C608AD26">
      <w:start w:val="1"/>
      <w:numFmt w:val="decimal"/>
      <w:lvlText w:val="Paragraph %1."/>
      <w:lvlJc w:val="left"/>
      <w:pPr>
        <w:ind w:left="1440" w:hanging="480"/>
      </w:pPr>
      <w:rPr>
        <w:rFonts w:hint="eastAsia"/>
      </w:rPr>
    </w:lvl>
    <w:lvl w:ilvl="1" w:tplc="04090019" w:tentative="1">
      <w:start w:val="1"/>
      <w:numFmt w:val="ideographTraditional"/>
      <w:lvlText w:val="%2、"/>
      <w:lvlJc w:val="left"/>
      <w:pPr>
        <w:ind w:left="960" w:hanging="480"/>
      </w:pPr>
    </w:lvl>
    <w:lvl w:ilvl="2" w:tplc="C608AD26">
      <w:start w:val="1"/>
      <w:numFmt w:val="decimal"/>
      <w:lvlText w:val="Paragraph %3."/>
      <w:lvlJc w:val="left"/>
      <w:pPr>
        <w:ind w:left="1440" w:hanging="480"/>
      </w:pPr>
      <w:rPr>
        <w:rFonts w:hint="eastAsia"/>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9840797"/>
    <w:multiLevelType w:val="hybridMultilevel"/>
    <w:tmpl w:val="0C3E29C2"/>
    <w:lvl w:ilvl="0" w:tplc="6B24B94A">
      <w:start w:val="1"/>
      <w:numFmt w:val="decimal"/>
      <w:lvlText w:val="4-2-%1"/>
      <w:lvlJc w:val="left"/>
      <w:pPr>
        <w:ind w:left="1680" w:hanging="480"/>
      </w:pPr>
      <w:rPr>
        <w:rFonts w:hint="eastAsia"/>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44" w15:restartNumberingAfterBreak="0">
    <w:nsid w:val="7A5968E0"/>
    <w:multiLevelType w:val="hybridMultilevel"/>
    <w:tmpl w:val="6B46B6B6"/>
    <w:lvl w:ilvl="0" w:tplc="FFFFFFFF">
      <w:start w:val="1"/>
      <w:numFmt w:val="decimal"/>
      <w:lvlText w:val="Paragraph %1."/>
      <w:lvlJc w:val="left"/>
      <w:pPr>
        <w:ind w:left="1440" w:hanging="480"/>
      </w:pPr>
      <w:rPr>
        <w:rFonts w:hint="eastAsia"/>
        <w:b w:val="0"/>
        <w:bCs/>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45" w15:restartNumberingAfterBreak="0">
    <w:nsid w:val="7C8F5A30"/>
    <w:multiLevelType w:val="hybridMultilevel"/>
    <w:tmpl w:val="5530A162"/>
    <w:lvl w:ilvl="0" w:tplc="FFFFFFFF">
      <w:start w:val="1"/>
      <w:numFmt w:val="decimal"/>
      <w:lvlText w:val="Paragraph %1."/>
      <w:lvlJc w:val="left"/>
      <w:pPr>
        <w:ind w:left="144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6" w15:restartNumberingAfterBreak="0">
    <w:nsid w:val="7D7D7C55"/>
    <w:multiLevelType w:val="hybridMultilevel"/>
    <w:tmpl w:val="EC24E096"/>
    <w:lvl w:ilvl="0" w:tplc="FFFFFFFF">
      <w:start w:val="1"/>
      <w:numFmt w:val="decimal"/>
      <w:lvlText w:val="Paragraph %1."/>
      <w:lvlJc w:val="left"/>
      <w:pPr>
        <w:ind w:left="1440" w:hanging="480"/>
      </w:pPr>
      <w:rPr>
        <w:rFonts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num w:numId="1" w16cid:durableId="525145148">
    <w:abstractNumId w:val="33"/>
  </w:num>
  <w:num w:numId="2" w16cid:durableId="33818888">
    <w:abstractNumId w:val="40"/>
  </w:num>
  <w:num w:numId="3" w16cid:durableId="17631842">
    <w:abstractNumId w:val="7"/>
  </w:num>
  <w:num w:numId="4" w16cid:durableId="1333335599">
    <w:abstractNumId w:val="36"/>
  </w:num>
  <w:num w:numId="5" w16cid:durableId="1848247304">
    <w:abstractNumId w:val="31"/>
  </w:num>
  <w:num w:numId="6" w16cid:durableId="513957187">
    <w:abstractNumId w:val="2"/>
  </w:num>
  <w:num w:numId="7" w16cid:durableId="1271817688">
    <w:abstractNumId w:val="43"/>
  </w:num>
  <w:num w:numId="8" w16cid:durableId="1149789620">
    <w:abstractNumId w:val="19"/>
  </w:num>
  <w:num w:numId="9" w16cid:durableId="779953216">
    <w:abstractNumId w:val="37"/>
  </w:num>
  <w:num w:numId="10" w16cid:durableId="75445647">
    <w:abstractNumId w:val="42"/>
  </w:num>
  <w:num w:numId="11" w16cid:durableId="201985019">
    <w:abstractNumId w:val="25"/>
  </w:num>
  <w:num w:numId="12" w16cid:durableId="1622955384">
    <w:abstractNumId w:val="14"/>
  </w:num>
  <w:num w:numId="13" w16cid:durableId="580141295">
    <w:abstractNumId w:val="6"/>
  </w:num>
  <w:num w:numId="14" w16cid:durableId="1938631150">
    <w:abstractNumId w:val="21"/>
  </w:num>
  <w:num w:numId="15" w16cid:durableId="1701592630">
    <w:abstractNumId w:val="39"/>
  </w:num>
  <w:num w:numId="16" w16cid:durableId="583952195">
    <w:abstractNumId w:val="23"/>
  </w:num>
  <w:num w:numId="17" w16cid:durableId="766467905">
    <w:abstractNumId w:val="11"/>
  </w:num>
  <w:num w:numId="18" w16cid:durableId="1339237007">
    <w:abstractNumId w:val="26"/>
  </w:num>
  <w:num w:numId="19" w16cid:durableId="1572158231">
    <w:abstractNumId w:val="8"/>
  </w:num>
  <w:num w:numId="20" w16cid:durableId="1776708109">
    <w:abstractNumId w:val="24"/>
  </w:num>
  <w:num w:numId="21" w16cid:durableId="893467665">
    <w:abstractNumId w:val="38"/>
  </w:num>
  <w:num w:numId="22" w16cid:durableId="1296793223">
    <w:abstractNumId w:val="28"/>
  </w:num>
  <w:num w:numId="23" w16cid:durableId="374812293">
    <w:abstractNumId w:val="41"/>
  </w:num>
  <w:num w:numId="24" w16cid:durableId="122971360">
    <w:abstractNumId w:val="12"/>
  </w:num>
  <w:num w:numId="25" w16cid:durableId="153225552">
    <w:abstractNumId w:val="0"/>
  </w:num>
  <w:num w:numId="26" w16cid:durableId="1536649023">
    <w:abstractNumId w:val="4"/>
  </w:num>
  <w:num w:numId="27" w16cid:durableId="2005817883">
    <w:abstractNumId w:val="13"/>
  </w:num>
  <w:num w:numId="28" w16cid:durableId="717438429">
    <w:abstractNumId w:val="45"/>
  </w:num>
  <w:num w:numId="29" w16cid:durableId="107162277">
    <w:abstractNumId w:val="22"/>
  </w:num>
  <w:num w:numId="30" w16cid:durableId="944993771">
    <w:abstractNumId w:val="3"/>
  </w:num>
  <w:num w:numId="31" w16cid:durableId="624701421">
    <w:abstractNumId w:val="32"/>
  </w:num>
  <w:num w:numId="32" w16cid:durableId="1999923512">
    <w:abstractNumId w:val="29"/>
  </w:num>
  <w:num w:numId="33" w16cid:durableId="340474150">
    <w:abstractNumId w:val="46"/>
  </w:num>
  <w:num w:numId="34" w16cid:durableId="1872839607">
    <w:abstractNumId w:val="15"/>
  </w:num>
  <w:num w:numId="35" w16cid:durableId="2071267260">
    <w:abstractNumId w:val="35"/>
  </w:num>
  <w:num w:numId="36" w16cid:durableId="1856966320">
    <w:abstractNumId w:val="1"/>
  </w:num>
  <w:num w:numId="37" w16cid:durableId="718476832">
    <w:abstractNumId w:val="17"/>
  </w:num>
  <w:num w:numId="38" w16cid:durableId="828180592">
    <w:abstractNumId w:val="34"/>
  </w:num>
  <w:num w:numId="39" w16cid:durableId="1145004318">
    <w:abstractNumId w:val="5"/>
  </w:num>
  <w:num w:numId="40" w16cid:durableId="44447568">
    <w:abstractNumId w:val="10"/>
  </w:num>
  <w:num w:numId="41" w16cid:durableId="566111698">
    <w:abstractNumId w:val="9"/>
  </w:num>
  <w:num w:numId="42" w16cid:durableId="473721659">
    <w:abstractNumId w:val="27"/>
  </w:num>
  <w:num w:numId="43" w16cid:durableId="1475292327">
    <w:abstractNumId w:val="30"/>
  </w:num>
  <w:num w:numId="44" w16cid:durableId="633826377">
    <w:abstractNumId w:val="16"/>
  </w:num>
  <w:num w:numId="45" w16cid:durableId="702050556">
    <w:abstractNumId w:val="44"/>
  </w:num>
  <w:num w:numId="46" w16cid:durableId="1096708918">
    <w:abstractNumId w:val="18"/>
  </w:num>
  <w:num w:numId="47" w16cid:durableId="2814212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clean"/>
  <w:defaultTabStop w:val="480"/>
  <w:drawingGridHorizontalSpacing w:val="110"/>
  <w:drawingGridVerticalSpacing w:val="299"/>
  <w:displayHorizont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EEC"/>
    <w:rsid w:val="00000485"/>
    <w:rsid w:val="00000676"/>
    <w:rsid w:val="00001081"/>
    <w:rsid w:val="000012B2"/>
    <w:rsid w:val="00002B9E"/>
    <w:rsid w:val="00003354"/>
    <w:rsid w:val="00005295"/>
    <w:rsid w:val="00005EB0"/>
    <w:rsid w:val="00006CEA"/>
    <w:rsid w:val="00006E6B"/>
    <w:rsid w:val="00010460"/>
    <w:rsid w:val="000107DE"/>
    <w:rsid w:val="00013315"/>
    <w:rsid w:val="000133EA"/>
    <w:rsid w:val="000138FB"/>
    <w:rsid w:val="00013F40"/>
    <w:rsid w:val="0001440B"/>
    <w:rsid w:val="0001568C"/>
    <w:rsid w:val="00016C41"/>
    <w:rsid w:val="00017C60"/>
    <w:rsid w:val="000209D3"/>
    <w:rsid w:val="00020A0A"/>
    <w:rsid w:val="00020F28"/>
    <w:rsid w:val="000261D2"/>
    <w:rsid w:val="00026935"/>
    <w:rsid w:val="0002732C"/>
    <w:rsid w:val="000310C0"/>
    <w:rsid w:val="0003111F"/>
    <w:rsid w:val="00032184"/>
    <w:rsid w:val="0003227A"/>
    <w:rsid w:val="00032462"/>
    <w:rsid w:val="0003254D"/>
    <w:rsid w:val="00033922"/>
    <w:rsid w:val="0003580F"/>
    <w:rsid w:val="00036FA2"/>
    <w:rsid w:val="0003775F"/>
    <w:rsid w:val="00037760"/>
    <w:rsid w:val="00037BA2"/>
    <w:rsid w:val="00040204"/>
    <w:rsid w:val="0004093B"/>
    <w:rsid w:val="00040960"/>
    <w:rsid w:val="000410C2"/>
    <w:rsid w:val="00041BDD"/>
    <w:rsid w:val="000420FA"/>
    <w:rsid w:val="000427A1"/>
    <w:rsid w:val="00042813"/>
    <w:rsid w:val="00042965"/>
    <w:rsid w:val="00043D20"/>
    <w:rsid w:val="00044CCC"/>
    <w:rsid w:val="000450F7"/>
    <w:rsid w:val="00045E14"/>
    <w:rsid w:val="000462CF"/>
    <w:rsid w:val="00046FCC"/>
    <w:rsid w:val="0004702B"/>
    <w:rsid w:val="00047A89"/>
    <w:rsid w:val="00050A4E"/>
    <w:rsid w:val="00050F43"/>
    <w:rsid w:val="0005103D"/>
    <w:rsid w:val="00054175"/>
    <w:rsid w:val="00055028"/>
    <w:rsid w:val="00055824"/>
    <w:rsid w:val="00055C4E"/>
    <w:rsid w:val="00056300"/>
    <w:rsid w:val="00056421"/>
    <w:rsid w:val="00060853"/>
    <w:rsid w:val="00062636"/>
    <w:rsid w:val="000629ED"/>
    <w:rsid w:val="00062A78"/>
    <w:rsid w:val="0006443E"/>
    <w:rsid w:val="00064952"/>
    <w:rsid w:val="00065B6D"/>
    <w:rsid w:val="00065D9D"/>
    <w:rsid w:val="0006690C"/>
    <w:rsid w:val="00066910"/>
    <w:rsid w:val="000669AE"/>
    <w:rsid w:val="000707D2"/>
    <w:rsid w:val="00071A90"/>
    <w:rsid w:val="00071E2E"/>
    <w:rsid w:val="000727AF"/>
    <w:rsid w:val="0007345D"/>
    <w:rsid w:val="0007479E"/>
    <w:rsid w:val="00075B79"/>
    <w:rsid w:val="00076477"/>
    <w:rsid w:val="00077B1D"/>
    <w:rsid w:val="000801C7"/>
    <w:rsid w:val="00080947"/>
    <w:rsid w:val="00081D81"/>
    <w:rsid w:val="000820E9"/>
    <w:rsid w:val="0008287A"/>
    <w:rsid w:val="0008386D"/>
    <w:rsid w:val="000858F6"/>
    <w:rsid w:val="0008597D"/>
    <w:rsid w:val="00085C19"/>
    <w:rsid w:val="00085F07"/>
    <w:rsid w:val="000866B8"/>
    <w:rsid w:val="000868A2"/>
    <w:rsid w:val="00087D4B"/>
    <w:rsid w:val="00090031"/>
    <w:rsid w:val="0009053B"/>
    <w:rsid w:val="00090D06"/>
    <w:rsid w:val="000958FF"/>
    <w:rsid w:val="00096317"/>
    <w:rsid w:val="000A1D35"/>
    <w:rsid w:val="000A5CC8"/>
    <w:rsid w:val="000A6435"/>
    <w:rsid w:val="000A6469"/>
    <w:rsid w:val="000A6658"/>
    <w:rsid w:val="000B0FA7"/>
    <w:rsid w:val="000B1751"/>
    <w:rsid w:val="000B1EF1"/>
    <w:rsid w:val="000B28A0"/>
    <w:rsid w:val="000B34C0"/>
    <w:rsid w:val="000B3EF0"/>
    <w:rsid w:val="000B4FA9"/>
    <w:rsid w:val="000B5456"/>
    <w:rsid w:val="000C1AAD"/>
    <w:rsid w:val="000C5C40"/>
    <w:rsid w:val="000C6F9F"/>
    <w:rsid w:val="000C7A91"/>
    <w:rsid w:val="000D0AC5"/>
    <w:rsid w:val="000D0B4E"/>
    <w:rsid w:val="000D11AB"/>
    <w:rsid w:val="000D254C"/>
    <w:rsid w:val="000D25DD"/>
    <w:rsid w:val="000D3A02"/>
    <w:rsid w:val="000D4786"/>
    <w:rsid w:val="000D5091"/>
    <w:rsid w:val="000D54D8"/>
    <w:rsid w:val="000D77EC"/>
    <w:rsid w:val="000E1435"/>
    <w:rsid w:val="000E19AE"/>
    <w:rsid w:val="000E1DFD"/>
    <w:rsid w:val="000E1F46"/>
    <w:rsid w:val="000E1FB1"/>
    <w:rsid w:val="000E1FE9"/>
    <w:rsid w:val="000E2DA0"/>
    <w:rsid w:val="000E3655"/>
    <w:rsid w:val="000E3A69"/>
    <w:rsid w:val="000E40F8"/>
    <w:rsid w:val="000E4362"/>
    <w:rsid w:val="000E4C63"/>
    <w:rsid w:val="000E5537"/>
    <w:rsid w:val="000E6157"/>
    <w:rsid w:val="000E69AE"/>
    <w:rsid w:val="000E6FA6"/>
    <w:rsid w:val="000F07B8"/>
    <w:rsid w:val="000F1B92"/>
    <w:rsid w:val="000F355A"/>
    <w:rsid w:val="000F3772"/>
    <w:rsid w:val="000F3976"/>
    <w:rsid w:val="000F4E41"/>
    <w:rsid w:val="000F537B"/>
    <w:rsid w:val="000F5448"/>
    <w:rsid w:val="000F741C"/>
    <w:rsid w:val="000F78CB"/>
    <w:rsid w:val="000F7F5A"/>
    <w:rsid w:val="00100320"/>
    <w:rsid w:val="00101AEF"/>
    <w:rsid w:val="001027C4"/>
    <w:rsid w:val="0010303A"/>
    <w:rsid w:val="00104365"/>
    <w:rsid w:val="00107CEC"/>
    <w:rsid w:val="0011012B"/>
    <w:rsid w:val="00110239"/>
    <w:rsid w:val="0011083D"/>
    <w:rsid w:val="00111871"/>
    <w:rsid w:val="00113886"/>
    <w:rsid w:val="001139F7"/>
    <w:rsid w:val="00115B1D"/>
    <w:rsid w:val="00117E07"/>
    <w:rsid w:val="00117EA3"/>
    <w:rsid w:val="00120C3A"/>
    <w:rsid w:val="001215CC"/>
    <w:rsid w:val="00121F52"/>
    <w:rsid w:val="00122144"/>
    <w:rsid w:val="00122B9A"/>
    <w:rsid w:val="00122BA5"/>
    <w:rsid w:val="001230A3"/>
    <w:rsid w:val="00125E1C"/>
    <w:rsid w:val="00126365"/>
    <w:rsid w:val="001263A1"/>
    <w:rsid w:val="00126B26"/>
    <w:rsid w:val="001273E8"/>
    <w:rsid w:val="00127918"/>
    <w:rsid w:val="00130298"/>
    <w:rsid w:val="00130923"/>
    <w:rsid w:val="001310D4"/>
    <w:rsid w:val="00132029"/>
    <w:rsid w:val="00132190"/>
    <w:rsid w:val="001322CD"/>
    <w:rsid w:val="001326E8"/>
    <w:rsid w:val="00133058"/>
    <w:rsid w:val="001337AF"/>
    <w:rsid w:val="00133904"/>
    <w:rsid w:val="00134405"/>
    <w:rsid w:val="0013724D"/>
    <w:rsid w:val="0013779C"/>
    <w:rsid w:val="0014064D"/>
    <w:rsid w:val="0014074F"/>
    <w:rsid w:val="00140C5C"/>
    <w:rsid w:val="001430EE"/>
    <w:rsid w:val="00143152"/>
    <w:rsid w:val="00145703"/>
    <w:rsid w:val="00145EFF"/>
    <w:rsid w:val="00146BC6"/>
    <w:rsid w:val="00150390"/>
    <w:rsid w:val="001503FF"/>
    <w:rsid w:val="00151B73"/>
    <w:rsid w:val="00151BCA"/>
    <w:rsid w:val="00151D75"/>
    <w:rsid w:val="001531ED"/>
    <w:rsid w:val="0015322E"/>
    <w:rsid w:val="00154CE6"/>
    <w:rsid w:val="0015652F"/>
    <w:rsid w:val="00157857"/>
    <w:rsid w:val="00157F5A"/>
    <w:rsid w:val="001600DF"/>
    <w:rsid w:val="00160484"/>
    <w:rsid w:val="001611EA"/>
    <w:rsid w:val="00162382"/>
    <w:rsid w:val="001625CF"/>
    <w:rsid w:val="00163159"/>
    <w:rsid w:val="001631C6"/>
    <w:rsid w:val="0016672D"/>
    <w:rsid w:val="001679CC"/>
    <w:rsid w:val="00171D4D"/>
    <w:rsid w:val="00171FF8"/>
    <w:rsid w:val="001724C2"/>
    <w:rsid w:val="0017390F"/>
    <w:rsid w:val="0017408D"/>
    <w:rsid w:val="00174304"/>
    <w:rsid w:val="00174390"/>
    <w:rsid w:val="00175542"/>
    <w:rsid w:val="00175613"/>
    <w:rsid w:val="0017578B"/>
    <w:rsid w:val="00175E64"/>
    <w:rsid w:val="001760F5"/>
    <w:rsid w:val="001813A1"/>
    <w:rsid w:val="00182961"/>
    <w:rsid w:val="00182D46"/>
    <w:rsid w:val="00183981"/>
    <w:rsid w:val="0018399A"/>
    <w:rsid w:val="00183A60"/>
    <w:rsid w:val="00183E70"/>
    <w:rsid w:val="001840E0"/>
    <w:rsid w:val="001844F3"/>
    <w:rsid w:val="001852F8"/>
    <w:rsid w:val="00186ADA"/>
    <w:rsid w:val="0019049C"/>
    <w:rsid w:val="00191104"/>
    <w:rsid w:val="001916D5"/>
    <w:rsid w:val="00192D2C"/>
    <w:rsid w:val="00192E8D"/>
    <w:rsid w:val="00193A58"/>
    <w:rsid w:val="00194029"/>
    <w:rsid w:val="00194A4C"/>
    <w:rsid w:val="00195062"/>
    <w:rsid w:val="00195B84"/>
    <w:rsid w:val="001965C6"/>
    <w:rsid w:val="00196BE9"/>
    <w:rsid w:val="001A084F"/>
    <w:rsid w:val="001A0A04"/>
    <w:rsid w:val="001A5105"/>
    <w:rsid w:val="001A5C42"/>
    <w:rsid w:val="001A620D"/>
    <w:rsid w:val="001A7CD9"/>
    <w:rsid w:val="001B1399"/>
    <w:rsid w:val="001B3504"/>
    <w:rsid w:val="001B3BC3"/>
    <w:rsid w:val="001B67C8"/>
    <w:rsid w:val="001B67E2"/>
    <w:rsid w:val="001B78C9"/>
    <w:rsid w:val="001B7BA6"/>
    <w:rsid w:val="001C02C3"/>
    <w:rsid w:val="001C31E1"/>
    <w:rsid w:val="001C3A06"/>
    <w:rsid w:val="001C40CF"/>
    <w:rsid w:val="001C4A29"/>
    <w:rsid w:val="001C5B63"/>
    <w:rsid w:val="001D1D14"/>
    <w:rsid w:val="001D35C4"/>
    <w:rsid w:val="001D66FF"/>
    <w:rsid w:val="001D6DE6"/>
    <w:rsid w:val="001E1BAB"/>
    <w:rsid w:val="001E1D39"/>
    <w:rsid w:val="001E2A84"/>
    <w:rsid w:val="001E319A"/>
    <w:rsid w:val="001E3A24"/>
    <w:rsid w:val="001E7B83"/>
    <w:rsid w:val="001F11CD"/>
    <w:rsid w:val="001F1595"/>
    <w:rsid w:val="001F20E6"/>
    <w:rsid w:val="001F46D8"/>
    <w:rsid w:val="001F50EE"/>
    <w:rsid w:val="001F5E4C"/>
    <w:rsid w:val="001F79E3"/>
    <w:rsid w:val="001F7EF7"/>
    <w:rsid w:val="00201706"/>
    <w:rsid w:val="002017FD"/>
    <w:rsid w:val="00201E4C"/>
    <w:rsid w:val="002030DB"/>
    <w:rsid w:val="00203776"/>
    <w:rsid w:val="002045B5"/>
    <w:rsid w:val="002054CC"/>
    <w:rsid w:val="002059F6"/>
    <w:rsid w:val="0020683F"/>
    <w:rsid w:val="00206C90"/>
    <w:rsid w:val="00210C97"/>
    <w:rsid w:val="00210E21"/>
    <w:rsid w:val="002116F8"/>
    <w:rsid w:val="002140D3"/>
    <w:rsid w:val="00215A4A"/>
    <w:rsid w:val="002168E4"/>
    <w:rsid w:val="00216CB3"/>
    <w:rsid w:val="00216EE9"/>
    <w:rsid w:val="002174DD"/>
    <w:rsid w:val="00217D9A"/>
    <w:rsid w:val="0022211C"/>
    <w:rsid w:val="00222C26"/>
    <w:rsid w:val="00223817"/>
    <w:rsid w:val="00224F44"/>
    <w:rsid w:val="0022570D"/>
    <w:rsid w:val="0022608E"/>
    <w:rsid w:val="0022615A"/>
    <w:rsid w:val="002303B5"/>
    <w:rsid w:val="00230786"/>
    <w:rsid w:val="002321BB"/>
    <w:rsid w:val="00232AD5"/>
    <w:rsid w:val="00235A37"/>
    <w:rsid w:val="00236A02"/>
    <w:rsid w:val="0024114C"/>
    <w:rsid w:val="002417EE"/>
    <w:rsid w:val="00242841"/>
    <w:rsid w:val="002439C3"/>
    <w:rsid w:val="0024587A"/>
    <w:rsid w:val="00246574"/>
    <w:rsid w:val="0024753F"/>
    <w:rsid w:val="00247809"/>
    <w:rsid w:val="00251609"/>
    <w:rsid w:val="00252080"/>
    <w:rsid w:val="00252163"/>
    <w:rsid w:val="002524EE"/>
    <w:rsid w:val="00252FE1"/>
    <w:rsid w:val="002539D6"/>
    <w:rsid w:val="00254777"/>
    <w:rsid w:val="00254EEC"/>
    <w:rsid w:val="00255E57"/>
    <w:rsid w:val="0026165F"/>
    <w:rsid w:val="00261F35"/>
    <w:rsid w:val="0026373C"/>
    <w:rsid w:val="00264053"/>
    <w:rsid w:val="00264A94"/>
    <w:rsid w:val="002652BC"/>
    <w:rsid w:val="002674C8"/>
    <w:rsid w:val="00271069"/>
    <w:rsid w:val="00271330"/>
    <w:rsid w:val="002718B5"/>
    <w:rsid w:val="00272382"/>
    <w:rsid w:val="00273390"/>
    <w:rsid w:val="00273A77"/>
    <w:rsid w:val="002752A9"/>
    <w:rsid w:val="002753D6"/>
    <w:rsid w:val="00275644"/>
    <w:rsid w:val="00276BB5"/>
    <w:rsid w:val="002770A3"/>
    <w:rsid w:val="00280E86"/>
    <w:rsid w:val="00281372"/>
    <w:rsid w:val="00281C46"/>
    <w:rsid w:val="002838E6"/>
    <w:rsid w:val="002841F7"/>
    <w:rsid w:val="00284467"/>
    <w:rsid w:val="00286678"/>
    <w:rsid w:val="00287763"/>
    <w:rsid w:val="00287E07"/>
    <w:rsid w:val="0029094A"/>
    <w:rsid w:val="00291242"/>
    <w:rsid w:val="00291955"/>
    <w:rsid w:val="00292290"/>
    <w:rsid w:val="00293905"/>
    <w:rsid w:val="00295FEF"/>
    <w:rsid w:val="002962E8"/>
    <w:rsid w:val="00297BD0"/>
    <w:rsid w:val="002A0B36"/>
    <w:rsid w:val="002A1CB7"/>
    <w:rsid w:val="002A29E6"/>
    <w:rsid w:val="002A3765"/>
    <w:rsid w:val="002A3A88"/>
    <w:rsid w:val="002A4368"/>
    <w:rsid w:val="002A63D3"/>
    <w:rsid w:val="002A6880"/>
    <w:rsid w:val="002A6D54"/>
    <w:rsid w:val="002A6FAB"/>
    <w:rsid w:val="002A7A12"/>
    <w:rsid w:val="002B0C68"/>
    <w:rsid w:val="002B1A88"/>
    <w:rsid w:val="002B1DA6"/>
    <w:rsid w:val="002B2260"/>
    <w:rsid w:val="002B4277"/>
    <w:rsid w:val="002B48EB"/>
    <w:rsid w:val="002B4B61"/>
    <w:rsid w:val="002B705C"/>
    <w:rsid w:val="002C263C"/>
    <w:rsid w:val="002C2E7D"/>
    <w:rsid w:val="002C2E85"/>
    <w:rsid w:val="002C3048"/>
    <w:rsid w:val="002C31C2"/>
    <w:rsid w:val="002C3B62"/>
    <w:rsid w:val="002C3DD2"/>
    <w:rsid w:val="002C3EC9"/>
    <w:rsid w:val="002C6252"/>
    <w:rsid w:val="002C65ED"/>
    <w:rsid w:val="002C688C"/>
    <w:rsid w:val="002D0439"/>
    <w:rsid w:val="002D093F"/>
    <w:rsid w:val="002D0B1C"/>
    <w:rsid w:val="002D0BBA"/>
    <w:rsid w:val="002D1830"/>
    <w:rsid w:val="002D1C41"/>
    <w:rsid w:val="002D24F2"/>
    <w:rsid w:val="002D26DE"/>
    <w:rsid w:val="002D2E1B"/>
    <w:rsid w:val="002D2E95"/>
    <w:rsid w:val="002D3E18"/>
    <w:rsid w:val="002D4F9C"/>
    <w:rsid w:val="002D608A"/>
    <w:rsid w:val="002D6786"/>
    <w:rsid w:val="002D6B0C"/>
    <w:rsid w:val="002D6B52"/>
    <w:rsid w:val="002E01C5"/>
    <w:rsid w:val="002E21FB"/>
    <w:rsid w:val="002E311E"/>
    <w:rsid w:val="002E5B7A"/>
    <w:rsid w:val="002E5EB7"/>
    <w:rsid w:val="002E7EDB"/>
    <w:rsid w:val="002F10E3"/>
    <w:rsid w:val="002F1939"/>
    <w:rsid w:val="002F1AE2"/>
    <w:rsid w:val="002F2141"/>
    <w:rsid w:val="002F410A"/>
    <w:rsid w:val="002F4704"/>
    <w:rsid w:val="002F51A3"/>
    <w:rsid w:val="002F51B3"/>
    <w:rsid w:val="002F52F7"/>
    <w:rsid w:val="002F533C"/>
    <w:rsid w:val="002F7867"/>
    <w:rsid w:val="00300000"/>
    <w:rsid w:val="00302D14"/>
    <w:rsid w:val="0030314F"/>
    <w:rsid w:val="00303CC1"/>
    <w:rsid w:val="003057FA"/>
    <w:rsid w:val="00305CDB"/>
    <w:rsid w:val="00306A0B"/>
    <w:rsid w:val="003109DC"/>
    <w:rsid w:val="00310AEE"/>
    <w:rsid w:val="00311391"/>
    <w:rsid w:val="003114ED"/>
    <w:rsid w:val="0031155D"/>
    <w:rsid w:val="00312ABB"/>
    <w:rsid w:val="0031357D"/>
    <w:rsid w:val="00314C52"/>
    <w:rsid w:val="0031599C"/>
    <w:rsid w:val="00315F58"/>
    <w:rsid w:val="0031631F"/>
    <w:rsid w:val="00316344"/>
    <w:rsid w:val="0031693A"/>
    <w:rsid w:val="003177A8"/>
    <w:rsid w:val="003205E3"/>
    <w:rsid w:val="00321031"/>
    <w:rsid w:val="00322F73"/>
    <w:rsid w:val="00325E4D"/>
    <w:rsid w:val="00325F79"/>
    <w:rsid w:val="00326CE3"/>
    <w:rsid w:val="00331B8A"/>
    <w:rsid w:val="00333318"/>
    <w:rsid w:val="00333471"/>
    <w:rsid w:val="00334CCC"/>
    <w:rsid w:val="00334D05"/>
    <w:rsid w:val="00337482"/>
    <w:rsid w:val="003375A5"/>
    <w:rsid w:val="00340378"/>
    <w:rsid w:val="00340820"/>
    <w:rsid w:val="00340ACC"/>
    <w:rsid w:val="0034200B"/>
    <w:rsid w:val="003443F3"/>
    <w:rsid w:val="00344A4A"/>
    <w:rsid w:val="0034563C"/>
    <w:rsid w:val="00345CEC"/>
    <w:rsid w:val="00346537"/>
    <w:rsid w:val="00346692"/>
    <w:rsid w:val="00347CDA"/>
    <w:rsid w:val="00350AC8"/>
    <w:rsid w:val="0035112C"/>
    <w:rsid w:val="00352994"/>
    <w:rsid w:val="00355A90"/>
    <w:rsid w:val="003573FB"/>
    <w:rsid w:val="0035791E"/>
    <w:rsid w:val="003618F7"/>
    <w:rsid w:val="00363337"/>
    <w:rsid w:val="00365B8E"/>
    <w:rsid w:val="00366D98"/>
    <w:rsid w:val="00367E89"/>
    <w:rsid w:val="003709AA"/>
    <w:rsid w:val="00370FF7"/>
    <w:rsid w:val="00371E2D"/>
    <w:rsid w:val="0037338B"/>
    <w:rsid w:val="00373932"/>
    <w:rsid w:val="00374140"/>
    <w:rsid w:val="00375508"/>
    <w:rsid w:val="00375C13"/>
    <w:rsid w:val="0037638E"/>
    <w:rsid w:val="0037792D"/>
    <w:rsid w:val="00380F8C"/>
    <w:rsid w:val="003811F2"/>
    <w:rsid w:val="00381702"/>
    <w:rsid w:val="00382BF2"/>
    <w:rsid w:val="00382EA9"/>
    <w:rsid w:val="00383002"/>
    <w:rsid w:val="00383750"/>
    <w:rsid w:val="003842D0"/>
    <w:rsid w:val="00385A03"/>
    <w:rsid w:val="003874AA"/>
    <w:rsid w:val="00387864"/>
    <w:rsid w:val="00387AEF"/>
    <w:rsid w:val="0039060E"/>
    <w:rsid w:val="00394036"/>
    <w:rsid w:val="00394D3A"/>
    <w:rsid w:val="00395559"/>
    <w:rsid w:val="00395937"/>
    <w:rsid w:val="0039717C"/>
    <w:rsid w:val="00397806"/>
    <w:rsid w:val="003A07C4"/>
    <w:rsid w:val="003A0DE3"/>
    <w:rsid w:val="003A12B6"/>
    <w:rsid w:val="003A266B"/>
    <w:rsid w:val="003A3840"/>
    <w:rsid w:val="003A754B"/>
    <w:rsid w:val="003B1FEA"/>
    <w:rsid w:val="003B2018"/>
    <w:rsid w:val="003B36CC"/>
    <w:rsid w:val="003B40CC"/>
    <w:rsid w:val="003B42FE"/>
    <w:rsid w:val="003B4D04"/>
    <w:rsid w:val="003B638D"/>
    <w:rsid w:val="003B7A0B"/>
    <w:rsid w:val="003B7C90"/>
    <w:rsid w:val="003B7FF2"/>
    <w:rsid w:val="003C0547"/>
    <w:rsid w:val="003C0F0B"/>
    <w:rsid w:val="003C1207"/>
    <w:rsid w:val="003C1FE1"/>
    <w:rsid w:val="003C41EE"/>
    <w:rsid w:val="003C47B5"/>
    <w:rsid w:val="003C4D22"/>
    <w:rsid w:val="003C61D4"/>
    <w:rsid w:val="003C62DF"/>
    <w:rsid w:val="003C7751"/>
    <w:rsid w:val="003D06F1"/>
    <w:rsid w:val="003D32E6"/>
    <w:rsid w:val="003D36B4"/>
    <w:rsid w:val="003D4054"/>
    <w:rsid w:val="003D5B7E"/>
    <w:rsid w:val="003D659B"/>
    <w:rsid w:val="003D7398"/>
    <w:rsid w:val="003E1286"/>
    <w:rsid w:val="003E2265"/>
    <w:rsid w:val="003E2618"/>
    <w:rsid w:val="003E4BA9"/>
    <w:rsid w:val="003E53FA"/>
    <w:rsid w:val="003E65E5"/>
    <w:rsid w:val="003E77E4"/>
    <w:rsid w:val="003F1069"/>
    <w:rsid w:val="003F1290"/>
    <w:rsid w:val="003F1A1B"/>
    <w:rsid w:val="003F1B3F"/>
    <w:rsid w:val="003F1BBF"/>
    <w:rsid w:val="003F22C7"/>
    <w:rsid w:val="003F24AE"/>
    <w:rsid w:val="003F41DF"/>
    <w:rsid w:val="003F43E3"/>
    <w:rsid w:val="003F56DE"/>
    <w:rsid w:val="003F6984"/>
    <w:rsid w:val="003F6B42"/>
    <w:rsid w:val="0040041B"/>
    <w:rsid w:val="00402D0F"/>
    <w:rsid w:val="00403820"/>
    <w:rsid w:val="00403C63"/>
    <w:rsid w:val="00404048"/>
    <w:rsid w:val="00404AAB"/>
    <w:rsid w:val="00405489"/>
    <w:rsid w:val="00406051"/>
    <w:rsid w:val="00406250"/>
    <w:rsid w:val="00406DAA"/>
    <w:rsid w:val="0040758E"/>
    <w:rsid w:val="00407A4B"/>
    <w:rsid w:val="00410518"/>
    <w:rsid w:val="00410791"/>
    <w:rsid w:val="0041182C"/>
    <w:rsid w:val="0041186F"/>
    <w:rsid w:val="00411AB3"/>
    <w:rsid w:val="0041337B"/>
    <w:rsid w:val="0041338B"/>
    <w:rsid w:val="00413645"/>
    <w:rsid w:val="00414091"/>
    <w:rsid w:val="0041426E"/>
    <w:rsid w:val="00414FA9"/>
    <w:rsid w:val="00415264"/>
    <w:rsid w:val="004155B3"/>
    <w:rsid w:val="004158D2"/>
    <w:rsid w:val="00416E51"/>
    <w:rsid w:val="004178B6"/>
    <w:rsid w:val="00417BC4"/>
    <w:rsid w:val="004205FE"/>
    <w:rsid w:val="004229E1"/>
    <w:rsid w:val="00422A58"/>
    <w:rsid w:val="004244E8"/>
    <w:rsid w:val="00426202"/>
    <w:rsid w:val="004270D7"/>
    <w:rsid w:val="004274A7"/>
    <w:rsid w:val="0043072F"/>
    <w:rsid w:val="00431FE6"/>
    <w:rsid w:val="00432514"/>
    <w:rsid w:val="004340C2"/>
    <w:rsid w:val="004351DF"/>
    <w:rsid w:val="00435256"/>
    <w:rsid w:val="00435BE2"/>
    <w:rsid w:val="00436F58"/>
    <w:rsid w:val="00441114"/>
    <w:rsid w:val="004427CA"/>
    <w:rsid w:val="004428FF"/>
    <w:rsid w:val="00442D02"/>
    <w:rsid w:val="00442F70"/>
    <w:rsid w:val="00445640"/>
    <w:rsid w:val="00445DD3"/>
    <w:rsid w:val="00446329"/>
    <w:rsid w:val="00446766"/>
    <w:rsid w:val="0044739C"/>
    <w:rsid w:val="004502CA"/>
    <w:rsid w:val="004503DC"/>
    <w:rsid w:val="00450ECB"/>
    <w:rsid w:val="00451D89"/>
    <w:rsid w:val="00452AF3"/>
    <w:rsid w:val="00453771"/>
    <w:rsid w:val="00454060"/>
    <w:rsid w:val="004545FE"/>
    <w:rsid w:val="00455D55"/>
    <w:rsid w:val="00456875"/>
    <w:rsid w:val="00457C70"/>
    <w:rsid w:val="00457D5A"/>
    <w:rsid w:val="0046085D"/>
    <w:rsid w:val="00460DA8"/>
    <w:rsid w:val="00462B60"/>
    <w:rsid w:val="00463F39"/>
    <w:rsid w:val="0046423B"/>
    <w:rsid w:val="00466167"/>
    <w:rsid w:val="004665E7"/>
    <w:rsid w:val="00470D57"/>
    <w:rsid w:val="0047152B"/>
    <w:rsid w:val="0047327C"/>
    <w:rsid w:val="004740D9"/>
    <w:rsid w:val="0047463A"/>
    <w:rsid w:val="0047470A"/>
    <w:rsid w:val="0047514F"/>
    <w:rsid w:val="00475F26"/>
    <w:rsid w:val="004765FE"/>
    <w:rsid w:val="004770DA"/>
    <w:rsid w:val="00477ED8"/>
    <w:rsid w:val="0048066E"/>
    <w:rsid w:val="00480F91"/>
    <w:rsid w:val="0048109E"/>
    <w:rsid w:val="00481657"/>
    <w:rsid w:val="00481D7C"/>
    <w:rsid w:val="00482245"/>
    <w:rsid w:val="00482253"/>
    <w:rsid w:val="004823D0"/>
    <w:rsid w:val="0048256F"/>
    <w:rsid w:val="00483D1D"/>
    <w:rsid w:val="004848A8"/>
    <w:rsid w:val="00486873"/>
    <w:rsid w:val="00486E6E"/>
    <w:rsid w:val="00486F9E"/>
    <w:rsid w:val="00487298"/>
    <w:rsid w:val="00487400"/>
    <w:rsid w:val="00487DE1"/>
    <w:rsid w:val="00490DF5"/>
    <w:rsid w:val="00490FEB"/>
    <w:rsid w:val="00493436"/>
    <w:rsid w:val="00493F27"/>
    <w:rsid w:val="00495AEA"/>
    <w:rsid w:val="00496CA4"/>
    <w:rsid w:val="004A0A62"/>
    <w:rsid w:val="004A301C"/>
    <w:rsid w:val="004A56B5"/>
    <w:rsid w:val="004A575F"/>
    <w:rsid w:val="004A6333"/>
    <w:rsid w:val="004A78F0"/>
    <w:rsid w:val="004B1441"/>
    <w:rsid w:val="004B1D17"/>
    <w:rsid w:val="004B1ECF"/>
    <w:rsid w:val="004B204D"/>
    <w:rsid w:val="004B3B62"/>
    <w:rsid w:val="004B4FB2"/>
    <w:rsid w:val="004B62A8"/>
    <w:rsid w:val="004B741D"/>
    <w:rsid w:val="004B7AE7"/>
    <w:rsid w:val="004C159E"/>
    <w:rsid w:val="004C1A1D"/>
    <w:rsid w:val="004C1E58"/>
    <w:rsid w:val="004C23D7"/>
    <w:rsid w:val="004C5834"/>
    <w:rsid w:val="004C60BE"/>
    <w:rsid w:val="004C642F"/>
    <w:rsid w:val="004C722A"/>
    <w:rsid w:val="004C728E"/>
    <w:rsid w:val="004C7D86"/>
    <w:rsid w:val="004D40FB"/>
    <w:rsid w:val="004D5A7A"/>
    <w:rsid w:val="004D5BE2"/>
    <w:rsid w:val="004D6211"/>
    <w:rsid w:val="004D7795"/>
    <w:rsid w:val="004E28DB"/>
    <w:rsid w:val="004E4699"/>
    <w:rsid w:val="004E4E93"/>
    <w:rsid w:val="004E529F"/>
    <w:rsid w:val="004E7BEE"/>
    <w:rsid w:val="004E7CEC"/>
    <w:rsid w:val="004F0C37"/>
    <w:rsid w:val="004F1074"/>
    <w:rsid w:val="004F3535"/>
    <w:rsid w:val="004F356C"/>
    <w:rsid w:val="004F36AF"/>
    <w:rsid w:val="004F3BD0"/>
    <w:rsid w:val="004F5B7E"/>
    <w:rsid w:val="005013FE"/>
    <w:rsid w:val="00501DC3"/>
    <w:rsid w:val="0050284B"/>
    <w:rsid w:val="005031C1"/>
    <w:rsid w:val="00505055"/>
    <w:rsid w:val="00505E88"/>
    <w:rsid w:val="00506F9D"/>
    <w:rsid w:val="00510B23"/>
    <w:rsid w:val="00510DAF"/>
    <w:rsid w:val="00511272"/>
    <w:rsid w:val="00514138"/>
    <w:rsid w:val="005151B3"/>
    <w:rsid w:val="00520546"/>
    <w:rsid w:val="005215F5"/>
    <w:rsid w:val="00523813"/>
    <w:rsid w:val="00527026"/>
    <w:rsid w:val="00527531"/>
    <w:rsid w:val="005276F6"/>
    <w:rsid w:val="00531AF3"/>
    <w:rsid w:val="005328F4"/>
    <w:rsid w:val="00533C30"/>
    <w:rsid w:val="00534E78"/>
    <w:rsid w:val="005353F9"/>
    <w:rsid w:val="00535BF0"/>
    <w:rsid w:val="00535DD4"/>
    <w:rsid w:val="00535F98"/>
    <w:rsid w:val="00536093"/>
    <w:rsid w:val="005362D3"/>
    <w:rsid w:val="0053721F"/>
    <w:rsid w:val="00540D20"/>
    <w:rsid w:val="00540F70"/>
    <w:rsid w:val="005417E0"/>
    <w:rsid w:val="0054182B"/>
    <w:rsid w:val="00541EAF"/>
    <w:rsid w:val="00542986"/>
    <w:rsid w:val="00543AC7"/>
    <w:rsid w:val="00545574"/>
    <w:rsid w:val="00545E67"/>
    <w:rsid w:val="00546507"/>
    <w:rsid w:val="00546F32"/>
    <w:rsid w:val="005472F1"/>
    <w:rsid w:val="00550816"/>
    <w:rsid w:val="00551930"/>
    <w:rsid w:val="00552870"/>
    <w:rsid w:val="005549F3"/>
    <w:rsid w:val="00555DF2"/>
    <w:rsid w:val="00556008"/>
    <w:rsid w:val="005564D3"/>
    <w:rsid w:val="00557241"/>
    <w:rsid w:val="005576BD"/>
    <w:rsid w:val="0055779E"/>
    <w:rsid w:val="00557FBC"/>
    <w:rsid w:val="00560CA4"/>
    <w:rsid w:val="005617AE"/>
    <w:rsid w:val="00562135"/>
    <w:rsid w:val="005639EA"/>
    <w:rsid w:val="00565AEC"/>
    <w:rsid w:val="00566BC0"/>
    <w:rsid w:val="00567FB2"/>
    <w:rsid w:val="0057004D"/>
    <w:rsid w:val="00570430"/>
    <w:rsid w:val="00572D7F"/>
    <w:rsid w:val="00573784"/>
    <w:rsid w:val="005737CF"/>
    <w:rsid w:val="00574E97"/>
    <w:rsid w:val="0057543A"/>
    <w:rsid w:val="005757BC"/>
    <w:rsid w:val="00576DAB"/>
    <w:rsid w:val="00577807"/>
    <w:rsid w:val="00580658"/>
    <w:rsid w:val="00580B12"/>
    <w:rsid w:val="00580BBC"/>
    <w:rsid w:val="00582A1B"/>
    <w:rsid w:val="0058325A"/>
    <w:rsid w:val="0058480C"/>
    <w:rsid w:val="00586232"/>
    <w:rsid w:val="005868F4"/>
    <w:rsid w:val="005869B8"/>
    <w:rsid w:val="00587242"/>
    <w:rsid w:val="00587B1D"/>
    <w:rsid w:val="00587E3F"/>
    <w:rsid w:val="005904A9"/>
    <w:rsid w:val="00591425"/>
    <w:rsid w:val="0059183E"/>
    <w:rsid w:val="00593838"/>
    <w:rsid w:val="005945DD"/>
    <w:rsid w:val="005A0AB9"/>
    <w:rsid w:val="005A0F40"/>
    <w:rsid w:val="005A184E"/>
    <w:rsid w:val="005A1F9E"/>
    <w:rsid w:val="005A21F7"/>
    <w:rsid w:val="005A2374"/>
    <w:rsid w:val="005A24AD"/>
    <w:rsid w:val="005A28C1"/>
    <w:rsid w:val="005A3846"/>
    <w:rsid w:val="005A3BE8"/>
    <w:rsid w:val="005A5978"/>
    <w:rsid w:val="005A63B5"/>
    <w:rsid w:val="005A67F3"/>
    <w:rsid w:val="005A7E7F"/>
    <w:rsid w:val="005B0DE9"/>
    <w:rsid w:val="005B1E41"/>
    <w:rsid w:val="005B2D86"/>
    <w:rsid w:val="005B3167"/>
    <w:rsid w:val="005B3B81"/>
    <w:rsid w:val="005B4561"/>
    <w:rsid w:val="005B487C"/>
    <w:rsid w:val="005B55F0"/>
    <w:rsid w:val="005B5D4C"/>
    <w:rsid w:val="005B726F"/>
    <w:rsid w:val="005B7B70"/>
    <w:rsid w:val="005C0F22"/>
    <w:rsid w:val="005C2771"/>
    <w:rsid w:val="005C3B47"/>
    <w:rsid w:val="005C4F85"/>
    <w:rsid w:val="005C65CF"/>
    <w:rsid w:val="005C6AF7"/>
    <w:rsid w:val="005D0F28"/>
    <w:rsid w:val="005D28F8"/>
    <w:rsid w:val="005D33AF"/>
    <w:rsid w:val="005D3D8F"/>
    <w:rsid w:val="005D4658"/>
    <w:rsid w:val="005D506C"/>
    <w:rsid w:val="005E065E"/>
    <w:rsid w:val="005E0877"/>
    <w:rsid w:val="005E1226"/>
    <w:rsid w:val="005E122E"/>
    <w:rsid w:val="005E1940"/>
    <w:rsid w:val="005E1B9D"/>
    <w:rsid w:val="005E2174"/>
    <w:rsid w:val="005E2FFC"/>
    <w:rsid w:val="005E5D1A"/>
    <w:rsid w:val="005E5E77"/>
    <w:rsid w:val="005E600A"/>
    <w:rsid w:val="005E657B"/>
    <w:rsid w:val="005E6715"/>
    <w:rsid w:val="005E67A7"/>
    <w:rsid w:val="005F0589"/>
    <w:rsid w:val="005F0BCA"/>
    <w:rsid w:val="005F1CF1"/>
    <w:rsid w:val="005F24E7"/>
    <w:rsid w:val="005F25AF"/>
    <w:rsid w:val="005F290C"/>
    <w:rsid w:val="005F2D2D"/>
    <w:rsid w:val="005F4016"/>
    <w:rsid w:val="005F4775"/>
    <w:rsid w:val="005F5C5C"/>
    <w:rsid w:val="005F63DB"/>
    <w:rsid w:val="005F655D"/>
    <w:rsid w:val="005F687F"/>
    <w:rsid w:val="005F708F"/>
    <w:rsid w:val="005F7C46"/>
    <w:rsid w:val="006006E0"/>
    <w:rsid w:val="006014D4"/>
    <w:rsid w:val="0060275C"/>
    <w:rsid w:val="00603696"/>
    <w:rsid w:val="006047E3"/>
    <w:rsid w:val="00604FBB"/>
    <w:rsid w:val="006051D0"/>
    <w:rsid w:val="006056E0"/>
    <w:rsid w:val="00605D60"/>
    <w:rsid w:val="00606970"/>
    <w:rsid w:val="00607A96"/>
    <w:rsid w:val="00607B09"/>
    <w:rsid w:val="00607FD3"/>
    <w:rsid w:val="006108D2"/>
    <w:rsid w:val="00610F7D"/>
    <w:rsid w:val="00611607"/>
    <w:rsid w:val="00611699"/>
    <w:rsid w:val="00611A82"/>
    <w:rsid w:val="006133EC"/>
    <w:rsid w:val="00613C6B"/>
    <w:rsid w:val="00615243"/>
    <w:rsid w:val="00615A63"/>
    <w:rsid w:val="006217CC"/>
    <w:rsid w:val="00621F53"/>
    <w:rsid w:val="00623642"/>
    <w:rsid w:val="0062396E"/>
    <w:rsid w:val="0062437C"/>
    <w:rsid w:val="00625769"/>
    <w:rsid w:val="00632704"/>
    <w:rsid w:val="00636C75"/>
    <w:rsid w:val="006378F5"/>
    <w:rsid w:val="00637D9F"/>
    <w:rsid w:val="0064029C"/>
    <w:rsid w:val="00640A31"/>
    <w:rsid w:val="00641DDF"/>
    <w:rsid w:val="006436E5"/>
    <w:rsid w:val="006437B3"/>
    <w:rsid w:val="0064466C"/>
    <w:rsid w:val="00644A0A"/>
    <w:rsid w:val="00644B75"/>
    <w:rsid w:val="006451EA"/>
    <w:rsid w:val="00647D0A"/>
    <w:rsid w:val="0065011E"/>
    <w:rsid w:val="006508B3"/>
    <w:rsid w:val="00651041"/>
    <w:rsid w:val="00652210"/>
    <w:rsid w:val="00652481"/>
    <w:rsid w:val="00653001"/>
    <w:rsid w:val="00654F91"/>
    <w:rsid w:val="006558FE"/>
    <w:rsid w:val="00655DF7"/>
    <w:rsid w:val="00656536"/>
    <w:rsid w:val="006571E4"/>
    <w:rsid w:val="00657A7A"/>
    <w:rsid w:val="00660B21"/>
    <w:rsid w:val="00660C0E"/>
    <w:rsid w:val="00661CA0"/>
    <w:rsid w:val="00663EDC"/>
    <w:rsid w:val="00664764"/>
    <w:rsid w:val="00664D42"/>
    <w:rsid w:val="0066591C"/>
    <w:rsid w:val="00667531"/>
    <w:rsid w:val="0067078F"/>
    <w:rsid w:val="006728D1"/>
    <w:rsid w:val="00672D85"/>
    <w:rsid w:val="006738C8"/>
    <w:rsid w:val="006742A7"/>
    <w:rsid w:val="00674905"/>
    <w:rsid w:val="0067516D"/>
    <w:rsid w:val="0067641B"/>
    <w:rsid w:val="0067752C"/>
    <w:rsid w:val="0067772D"/>
    <w:rsid w:val="00677D3B"/>
    <w:rsid w:val="0068110F"/>
    <w:rsid w:val="00681259"/>
    <w:rsid w:val="006814B2"/>
    <w:rsid w:val="0068174A"/>
    <w:rsid w:val="00681A42"/>
    <w:rsid w:val="00682F70"/>
    <w:rsid w:val="00686511"/>
    <w:rsid w:val="00686595"/>
    <w:rsid w:val="006865C3"/>
    <w:rsid w:val="00687AF7"/>
    <w:rsid w:val="00687B5A"/>
    <w:rsid w:val="00690BB4"/>
    <w:rsid w:val="00690CBF"/>
    <w:rsid w:val="00690F65"/>
    <w:rsid w:val="006919F1"/>
    <w:rsid w:val="006924E8"/>
    <w:rsid w:val="00694042"/>
    <w:rsid w:val="00694281"/>
    <w:rsid w:val="00696350"/>
    <w:rsid w:val="006A08F0"/>
    <w:rsid w:val="006A0E61"/>
    <w:rsid w:val="006A1B2D"/>
    <w:rsid w:val="006A2C59"/>
    <w:rsid w:val="006A4E9F"/>
    <w:rsid w:val="006A697F"/>
    <w:rsid w:val="006B115A"/>
    <w:rsid w:val="006B16CC"/>
    <w:rsid w:val="006B240D"/>
    <w:rsid w:val="006B2911"/>
    <w:rsid w:val="006B2E03"/>
    <w:rsid w:val="006B4976"/>
    <w:rsid w:val="006B4B0F"/>
    <w:rsid w:val="006B4EE4"/>
    <w:rsid w:val="006B63DB"/>
    <w:rsid w:val="006B6A4E"/>
    <w:rsid w:val="006C02D0"/>
    <w:rsid w:val="006C0C6D"/>
    <w:rsid w:val="006C1E75"/>
    <w:rsid w:val="006C2E9E"/>
    <w:rsid w:val="006C4116"/>
    <w:rsid w:val="006C450E"/>
    <w:rsid w:val="006C5A2F"/>
    <w:rsid w:val="006C6B0A"/>
    <w:rsid w:val="006D046E"/>
    <w:rsid w:val="006D0675"/>
    <w:rsid w:val="006D0779"/>
    <w:rsid w:val="006D4FC0"/>
    <w:rsid w:val="006D640B"/>
    <w:rsid w:val="006D6B5E"/>
    <w:rsid w:val="006D70C5"/>
    <w:rsid w:val="006D711A"/>
    <w:rsid w:val="006D7DE6"/>
    <w:rsid w:val="006E2EF8"/>
    <w:rsid w:val="006E3A26"/>
    <w:rsid w:val="006E6C94"/>
    <w:rsid w:val="006E70CC"/>
    <w:rsid w:val="006E70DD"/>
    <w:rsid w:val="006E7A6C"/>
    <w:rsid w:val="006E7D7C"/>
    <w:rsid w:val="006F087F"/>
    <w:rsid w:val="006F2C49"/>
    <w:rsid w:val="006F3294"/>
    <w:rsid w:val="006F596A"/>
    <w:rsid w:val="006F5DD4"/>
    <w:rsid w:val="006F64A1"/>
    <w:rsid w:val="006F6CB8"/>
    <w:rsid w:val="006F75DC"/>
    <w:rsid w:val="007013E5"/>
    <w:rsid w:val="00701F45"/>
    <w:rsid w:val="00705252"/>
    <w:rsid w:val="007078CC"/>
    <w:rsid w:val="00710FCE"/>
    <w:rsid w:val="0071323B"/>
    <w:rsid w:val="0071496F"/>
    <w:rsid w:val="00714D73"/>
    <w:rsid w:val="0071703E"/>
    <w:rsid w:val="007170AF"/>
    <w:rsid w:val="007178DD"/>
    <w:rsid w:val="00720B3B"/>
    <w:rsid w:val="00720DB7"/>
    <w:rsid w:val="007219E4"/>
    <w:rsid w:val="007225FC"/>
    <w:rsid w:val="00722663"/>
    <w:rsid w:val="00722B5C"/>
    <w:rsid w:val="00724E4F"/>
    <w:rsid w:val="00725E92"/>
    <w:rsid w:val="00727683"/>
    <w:rsid w:val="00730C1E"/>
    <w:rsid w:val="007316B0"/>
    <w:rsid w:val="00731D75"/>
    <w:rsid w:val="007341F9"/>
    <w:rsid w:val="00734AFE"/>
    <w:rsid w:val="0073594C"/>
    <w:rsid w:val="00735B11"/>
    <w:rsid w:val="007363C1"/>
    <w:rsid w:val="007365EF"/>
    <w:rsid w:val="00736E76"/>
    <w:rsid w:val="0073742F"/>
    <w:rsid w:val="00740F30"/>
    <w:rsid w:val="0074106A"/>
    <w:rsid w:val="0074406A"/>
    <w:rsid w:val="00745048"/>
    <w:rsid w:val="007459B2"/>
    <w:rsid w:val="00745A4F"/>
    <w:rsid w:val="0074611B"/>
    <w:rsid w:val="007506A1"/>
    <w:rsid w:val="00753E94"/>
    <w:rsid w:val="0075451C"/>
    <w:rsid w:val="0075489A"/>
    <w:rsid w:val="007554EA"/>
    <w:rsid w:val="00756079"/>
    <w:rsid w:val="00756A4F"/>
    <w:rsid w:val="00756B37"/>
    <w:rsid w:val="00757DB8"/>
    <w:rsid w:val="0076045D"/>
    <w:rsid w:val="0076092C"/>
    <w:rsid w:val="00761B36"/>
    <w:rsid w:val="00762171"/>
    <w:rsid w:val="00762178"/>
    <w:rsid w:val="0076230D"/>
    <w:rsid w:val="00763037"/>
    <w:rsid w:val="0076303C"/>
    <w:rsid w:val="007638DB"/>
    <w:rsid w:val="00763EB4"/>
    <w:rsid w:val="00763F6D"/>
    <w:rsid w:val="007647E2"/>
    <w:rsid w:val="007649FF"/>
    <w:rsid w:val="0076522C"/>
    <w:rsid w:val="007660FE"/>
    <w:rsid w:val="007673C5"/>
    <w:rsid w:val="00767AD3"/>
    <w:rsid w:val="00771B01"/>
    <w:rsid w:val="00771CCC"/>
    <w:rsid w:val="00773F84"/>
    <w:rsid w:val="0077413E"/>
    <w:rsid w:val="0077556E"/>
    <w:rsid w:val="0077567E"/>
    <w:rsid w:val="00775D69"/>
    <w:rsid w:val="00775D7E"/>
    <w:rsid w:val="00775F17"/>
    <w:rsid w:val="00776417"/>
    <w:rsid w:val="00777E16"/>
    <w:rsid w:val="00780E41"/>
    <w:rsid w:val="00780F1C"/>
    <w:rsid w:val="00783C56"/>
    <w:rsid w:val="0078711B"/>
    <w:rsid w:val="0078783A"/>
    <w:rsid w:val="00790472"/>
    <w:rsid w:val="007941D9"/>
    <w:rsid w:val="007947A7"/>
    <w:rsid w:val="007963C1"/>
    <w:rsid w:val="00796610"/>
    <w:rsid w:val="00796C15"/>
    <w:rsid w:val="007A06A0"/>
    <w:rsid w:val="007A124B"/>
    <w:rsid w:val="007A14DC"/>
    <w:rsid w:val="007A3488"/>
    <w:rsid w:val="007A76D3"/>
    <w:rsid w:val="007A7F9E"/>
    <w:rsid w:val="007B0CC2"/>
    <w:rsid w:val="007B2177"/>
    <w:rsid w:val="007B2A35"/>
    <w:rsid w:val="007B2A56"/>
    <w:rsid w:val="007B2A97"/>
    <w:rsid w:val="007B2DBD"/>
    <w:rsid w:val="007B3383"/>
    <w:rsid w:val="007B3C8F"/>
    <w:rsid w:val="007B3CFE"/>
    <w:rsid w:val="007B414C"/>
    <w:rsid w:val="007B5074"/>
    <w:rsid w:val="007B5414"/>
    <w:rsid w:val="007B5BBF"/>
    <w:rsid w:val="007B6B44"/>
    <w:rsid w:val="007B6D5F"/>
    <w:rsid w:val="007B76F9"/>
    <w:rsid w:val="007C0095"/>
    <w:rsid w:val="007C1BF5"/>
    <w:rsid w:val="007C1C32"/>
    <w:rsid w:val="007C1C62"/>
    <w:rsid w:val="007C3498"/>
    <w:rsid w:val="007C3FF7"/>
    <w:rsid w:val="007C55CD"/>
    <w:rsid w:val="007C6A7E"/>
    <w:rsid w:val="007C6E53"/>
    <w:rsid w:val="007D04AD"/>
    <w:rsid w:val="007D0BC9"/>
    <w:rsid w:val="007D28BF"/>
    <w:rsid w:val="007D386A"/>
    <w:rsid w:val="007D3E5D"/>
    <w:rsid w:val="007D4CD9"/>
    <w:rsid w:val="007D5A86"/>
    <w:rsid w:val="007D7EB5"/>
    <w:rsid w:val="007E055D"/>
    <w:rsid w:val="007E0D9B"/>
    <w:rsid w:val="007E14EA"/>
    <w:rsid w:val="007E2BF2"/>
    <w:rsid w:val="007E2F21"/>
    <w:rsid w:val="007E3031"/>
    <w:rsid w:val="007E3A31"/>
    <w:rsid w:val="007E448A"/>
    <w:rsid w:val="007E669E"/>
    <w:rsid w:val="007E6B7D"/>
    <w:rsid w:val="007E7C8A"/>
    <w:rsid w:val="007F06D9"/>
    <w:rsid w:val="007F122E"/>
    <w:rsid w:val="007F14A7"/>
    <w:rsid w:val="007F23EA"/>
    <w:rsid w:val="007F2CAE"/>
    <w:rsid w:val="007F2CF0"/>
    <w:rsid w:val="007F3329"/>
    <w:rsid w:val="007F3BCB"/>
    <w:rsid w:val="007F3F1F"/>
    <w:rsid w:val="007F406D"/>
    <w:rsid w:val="007F4ACC"/>
    <w:rsid w:val="007F5137"/>
    <w:rsid w:val="007F658C"/>
    <w:rsid w:val="007F724A"/>
    <w:rsid w:val="007F72BF"/>
    <w:rsid w:val="007F777B"/>
    <w:rsid w:val="00801D69"/>
    <w:rsid w:val="0080236C"/>
    <w:rsid w:val="00803C32"/>
    <w:rsid w:val="00805303"/>
    <w:rsid w:val="00805EEA"/>
    <w:rsid w:val="00807039"/>
    <w:rsid w:val="00807EE4"/>
    <w:rsid w:val="00811002"/>
    <w:rsid w:val="0081296F"/>
    <w:rsid w:val="0081364B"/>
    <w:rsid w:val="00814DBD"/>
    <w:rsid w:val="008156B4"/>
    <w:rsid w:val="008156C6"/>
    <w:rsid w:val="00815AA1"/>
    <w:rsid w:val="00815ABC"/>
    <w:rsid w:val="00816641"/>
    <w:rsid w:val="008167DE"/>
    <w:rsid w:val="00816E32"/>
    <w:rsid w:val="008204D6"/>
    <w:rsid w:val="00820861"/>
    <w:rsid w:val="0082095C"/>
    <w:rsid w:val="00821847"/>
    <w:rsid w:val="008222D6"/>
    <w:rsid w:val="00823479"/>
    <w:rsid w:val="00823EC0"/>
    <w:rsid w:val="00825ED5"/>
    <w:rsid w:val="0082623B"/>
    <w:rsid w:val="00827A01"/>
    <w:rsid w:val="00827BBF"/>
    <w:rsid w:val="00827C16"/>
    <w:rsid w:val="00827E1A"/>
    <w:rsid w:val="008304D1"/>
    <w:rsid w:val="00830949"/>
    <w:rsid w:val="008332DE"/>
    <w:rsid w:val="00833CC4"/>
    <w:rsid w:val="00834174"/>
    <w:rsid w:val="0083506A"/>
    <w:rsid w:val="00835424"/>
    <w:rsid w:val="008403CA"/>
    <w:rsid w:val="0084058D"/>
    <w:rsid w:val="008422C3"/>
    <w:rsid w:val="008423DA"/>
    <w:rsid w:val="008424BB"/>
    <w:rsid w:val="0084254A"/>
    <w:rsid w:val="00845B17"/>
    <w:rsid w:val="008467A1"/>
    <w:rsid w:val="0084791C"/>
    <w:rsid w:val="00850147"/>
    <w:rsid w:val="00850F33"/>
    <w:rsid w:val="00851273"/>
    <w:rsid w:val="0085140A"/>
    <w:rsid w:val="00851986"/>
    <w:rsid w:val="00851B30"/>
    <w:rsid w:val="008521D0"/>
    <w:rsid w:val="00852726"/>
    <w:rsid w:val="00853E75"/>
    <w:rsid w:val="00854630"/>
    <w:rsid w:val="00854E93"/>
    <w:rsid w:val="00856061"/>
    <w:rsid w:val="00856169"/>
    <w:rsid w:val="0085683C"/>
    <w:rsid w:val="00856D18"/>
    <w:rsid w:val="00857D5A"/>
    <w:rsid w:val="008602AB"/>
    <w:rsid w:val="00863456"/>
    <w:rsid w:val="00865413"/>
    <w:rsid w:val="008669DB"/>
    <w:rsid w:val="0087095C"/>
    <w:rsid w:val="00871281"/>
    <w:rsid w:val="0087191B"/>
    <w:rsid w:val="008728C0"/>
    <w:rsid w:val="00872B2B"/>
    <w:rsid w:val="00872F3B"/>
    <w:rsid w:val="00872FDE"/>
    <w:rsid w:val="0087403E"/>
    <w:rsid w:val="008747D0"/>
    <w:rsid w:val="00874CBD"/>
    <w:rsid w:val="00874F29"/>
    <w:rsid w:val="00875057"/>
    <w:rsid w:val="00875308"/>
    <w:rsid w:val="00875386"/>
    <w:rsid w:val="00876A70"/>
    <w:rsid w:val="00877405"/>
    <w:rsid w:val="00877409"/>
    <w:rsid w:val="00877645"/>
    <w:rsid w:val="00880F5F"/>
    <w:rsid w:val="0088126D"/>
    <w:rsid w:val="00881B60"/>
    <w:rsid w:val="008845DE"/>
    <w:rsid w:val="0089069B"/>
    <w:rsid w:val="008908E3"/>
    <w:rsid w:val="00891BD1"/>
    <w:rsid w:val="008944C0"/>
    <w:rsid w:val="00894E3A"/>
    <w:rsid w:val="00896A96"/>
    <w:rsid w:val="008971C8"/>
    <w:rsid w:val="008A02F8"/>
    <w:rsid w:val="008A3B99"/>
    <w:rsid w:val="008A3D48"/>
    <w:rsid w:val="008A3F63"/>
    <w:rsid w:val="008A48D8"/>
    <w:rsid w:val="008A6A52"/>
    <w:rsid w:val="008A798C"/>
    <w:rsid w:val="008B1222"/>
    <w:rsid w:val="008B1B6B"/>
    <w:rsid w:val="008B3357"/>
    <w:rsid w:val="008B339D"/>
    <w:rsid w:val="008B50B4"/>
    <w:rsid w:val="008B59E3"/>
    <w:rsid w:val="008B5D2B"/>
    <w:rsid w:val="008B695F"/>
    <w:rsid w:val="008C01CB"/>
    <w:rsid w:val="008C0CD9"/>
    <w:rsid w:val="008C316F"/>
    <w:rsid w:val="008C3788"/>
    <w:rsid w:val="008C4FD9"/>
    <w:rsid w:val="008C5191"/>
    <w:rsid w:val="008C52CE"/>
    <w:rsid w:val="008C5D10"/>
    <w:rsid w:val="008C6EFE"/>
    <w:rsid w:val="008D1145"/>
    <w:rsid w:val="008D2863"/>
    <w:rsid w:val="008D2CDE"/>
    <w:rsid w:val="008D2E50"/>
    <w:rsid w:val="008D3A68"/>
    <w:rsid w:val="008D3DEB"/>
    <w:rsid w:val="008D43D2"/>
    <w:rsid w:val="008D5EF7"/>
    <w:rsid w:val="008D6144"/>
    <w:rsid w:val="008D65FA"/>
    <w:rsid w:val="008D676C"/>
    <w:rsid w:val="008D752D"/>
    <w:rsid w:val="008E08B9"/>
    <w:rsid w:val="008E18F6"/>
    <w:rsid w:val="008E1A97"/>
    <w:rsid w:val="008E2930"/>
    <w:rsid w:val="008E3AB8"/>
    <w:rsid w:val="008E4008"/>
    <w:rsid w:val="008E40E8"/>
    <w:rsid w:val="008E4CC3"/>
    <w:rsid w:val="008E5943"/>
    <w:rsid w:val="008E75D1"/>
    <w:rsid w:val="008E7972"/>
    <w:rsid w:val="008E7BA7"/>
    <w:rsid w:val="008E7D69"/>
    <w:rsid w:val="008F3E24"/>
    <w:rsid w:val="008F4DB4"/>
    <w:rsid w:val="008F4E74"/>
    <w:rsid w:val="008F514D"/>
    <w:rsid w:val="008F582B"/>
    <w:rsid w:val="008F6EA5"/>
    <w:rsid w:val="008F712D"/>
    <w:rsid w:val="009000F2"/>
    <w:rsid w:val="009002F7"/>
    <w:rsid w:val="00900812"/>
    <w:rsid w:val="00900F8F"/>
    <w:rsid w:val="0090180F"/>
    <w:rsid w:val="009025E8"/>
    <w:rsid w:val="009034A1"/>
    <w:rsid w:val="00905FD6"/>
    <w:rsid w:val="00906122"/>
    <w:rsid w:val="00906FDB"/>
    <w:rsid w:val="009104A7"/>
    <w:rsid w:val="0091192C"/>
    <w:rsid w:val="009123A8"/>
    <w:rsid w:val="00912F1D"/>
    <w:rsid w:val="009131CF"/>
    <w:rsid w:val="0091345A"/>
    <w:rsid w:val="009141B0"/>
    <w:rsid w:val="00915979"/>
    <w:rsid w:val="00916089"/>
    <w:rsid w:val="009203C2"/>
    <w:rsid w:val="00921A57"/>
    <w:rsid w:val="00922069"/>
    <w:rsid w:val="00923E16"/>
    <w:rsid w:val="00924716"/>
    <w:rsid w:val="0092513A"/>
    <w:rsid w:val="009271D7"/>
    <w:rsid w:val="00927384"/>
    <w:rsid w:val="0092785F"/>
    <w:rsid w:val="009308A2"/>
    <w:rsid w:val="00930E24"/>
    <w:rsid w:val="00930FC9"/>
    <w:rsid w:val="009314E7"/>
    <w:rsid w:val="00931B39"/>
    <w:rsid w:val="009327A9"/>
    <w:rsid w:val="009345E5"/>
    <w:rsid w:val="009354AF"/>
    <w:rsid w:val="009356C2"/>
    <w:rsid w:val="00935B66"/>
    <w:rsid w:val="009364DB"/>
    <w:rsid w:val="009366D4"/>
    <w:rsid w:val="00936ED8"/>
    <w:rsid w:val="009374B7"/>
    <w:rsid w:val="00940618"/>
    <w:rsid w:val="00940D82"/>
    <w:rsid w:val="00941A91"/>
    <w:rsid w:val="00941DCF"/>
    <w:rsid w:val="009433AC"/>
    <w:rsid w:val="009434F1"/>
    <w:rsid w:val="009439C2"/>
    <w:rsid w:val="00944A95"/>
    <w:rsid w:val="00945369"/>
    <w:rsid w:val="0094712B"/>
    <w:rsid w:val="00947204"/>
    <w:rsid w:val="009512B1"/>
    <w:rsid w:val="00951890"/>
    <w:rsid w:val="00952EED"/>
    <w:rsid w:val="00953175"/>
    <w:rsid w:val="00954512"/>
    <w:rsid w:val="00961D8A"/>
    <w:rsid w:val="00962A59"/>
    <w:rsid w:val="009641E3"/>
    <w:rsid w:val="00964335"/>
    <w:rsid w:val="009654CB"/>
    <w:rsid w:val="00967629"/>
    <w:rsid w:val="00970199"/>
    <w:rsid w:val="00971DE4"/>
    <w:rsid w:val="0097249C"/>
    <w:rsid w:val="00980A6B"/>
    <w:rsid w:val="00980E8D"/>
    <w:rsid w:val="009822FD"/>
    <w:rsid w:val="00983593"/>
    <w:rsid w:val="00983A11"/>
    <w:rsid w:val="00985C63"/>
    <w:rsid w:val="00986057"/>
    <w:rsid w:val="009876B4"/>
    <w:rsid w:val="00987E06"/>
    <w:rsid w:val="00987F3A"/>
    <w:rsid w:val="00990E8B"/>
    <w:rsid w:val="00991A97"/>
    <w:rsid w:val="009929CF"/>
    <w:rsid w:val="00994D66"/>
    <w:rsid w:val="0099649C"/>
    <w:rsid w:val="00996979"/>
    <w:rsid w:val="009A0EAF"/>
    <w:rsid w:val="009A11FE"/>
    <w:rsid w:val="009A1AF3"/>
    <w:rsid w:val="009A2AC8"/>
    <w:rsid w:val="009A2DDD"/>
    <w:rsid w:val="009A2FFD"/>
    <w:rsid w:val="009A31E9"/>
    <w:rsid w:val="009A3AEE"/>
    <w:rsid w:val="009A7226"/>
    <w:rsid w:val="009A7593"/>
    <w:rsid w:val="009B1ED8"/>
    <w:rsid w:val="009B4E63"/>
    <w:rsid w:val="009B6D35"/>
    <w:rsid w:val="009C0247"/>
    <w:rsid w:val="009C05F8"/>
    <w:rsid w:val="009C09D8"/>
    <w:rsid w:val="009C0F8F"/>
    <w:rsid w:val="009C1DC3"/>
    <w:rsid w:val="009C2B2A"/>
    <w:rsid w:val="009C2B5D"/>
    <w:rsid w:val="009C4D13"/>
    <w:rsid w:val="009C52F0"/>
    <w:rsid w:val="009C5EFD"/>
    <w:rsid w:val="009C6ED6"/>
    <w:rsid w:val="009C77EB"/>
    <w:rsid w:val="009C7C47"/>
    <w:rsid w:val="009D020F"/>
    <w:rsid w:val="009D0EBD"/>
    <w:rsid w:val="009D1296"/>
    <w:rsid w:val="009D17B6"/>
    <w:rsid w:val="009D2637"/>
    <w:rsid w:val="009D30F6"/>
    <w:rsid w:val="009D33E8"/>
    <w:rsid w:val="009D4897"/>
    <w:rsid w:val="009D519C"/>
    <w:rsid w:val="009D5A78"/>
    <w:rsid w:val="009E113D"/>
    <w:rsid w:val="009E3AB5"/>
    <w:rsid w:val="009E46C1"/>
    <w:rsid w:val="009E5D3D"/>
    <w:rsid w:val="009E5D49"/>
    <w:rsid w:val="009E755C"/>
    <w:rsid w:val="009E7872"/>
    <w:rsid w:val="009E7A57"/>
    <w:rsid w:val="009F092F"/>
    <w:rsid w:val="009F3914"/>
    <w:rsid w:val="009F5B6A"/>
    <w:rsid w:val="00A016F8"/>
    <w:rsid w:val="00A01D1A"/>
    <w:rsid w:val="00A02304"/>
    <w:rsid w:val="00A0389D"/>
    <w:rsid w:val="00A03960"/>
    <w:rsid w:val="00A0396A"/>
    <w:rsid w:val="00A051F9"/>
    <w:rsid w:val="00A0614A"/>
    <w:rsid w:val="00A062A1"/>
    <w:rsid w:val="00A07D1B"/>
    <w:rsid w:val="00A10A89"/>
    <w:rsid w:val="00A11131"/>
    <w:rsid w:val="00A13230"/>
    <w:rsid w:val="00A1344B"/>
    <w:rsid w:val="00A13762"/>
    <w:rsid w:val="00A149A1"/>
    <w:rsid w:val="00A16544"/>
    <w:rsid w:val="00A16B79"/>
    <w:rsid w:val="00A2000A"/>
    <w:rsid w:val="00A20B41"/>
    <w:rsid w:val="00A20D1B"/>
    <w:rsid w:val="00A22AE0"/>
    <w:rsid w:val="00A22CE1"/>
    <w:rsid w:val="00A2382D"/>
    <w:rsid w:val="00A2623C"/>
    <w:rsid w:val="00A2629C"/>
    <w:rsid w:val="00A279F5"/>
    <w:rsid w:val="00A27F0F"/>
    <w:rsid w:val="00A3046D"/>
    <w:rsid w:val="00A304E4"/>
    <w:rsid w:val="00A311EF"/>
    <w:rsid w:val="00A31322"/>
    <w:rsid w:val="00A3188D"/>
    <w:rsid w:val="00A3202B"/>
    <w:rsid w:val="00A3259E"/>
    <w:rsid w:val="00A34572"/>
    <w:rsid w:val="00A35F6C"/>
    <w:rsid w:val="00A37AF6"/>
    <w:rsid w:val="00A407FB"/>
    <w:rsid w:val="00A409A1"/>
    <w:rsid w:val="00A40F77"/>
    <w:rsid w:val="00A41942"/>
    <w:rsid w:val="00A41FE5"/>
    <w:rsid w:val="00A4258F"/>
    <w:rsid w:val="00A42DA4"/>
    <w:rsid w:val="00A430B6"/>
    <w:rsid w:val="00A447E9"/>
    <w:rsid w:val="00A46126"/>
    <w:rsid w:val="00A4657A"/>
    <w:rsid w:val="00A466C5"/>
    <w:rsid w:val="00A50911"/>
    <w:rsid w:val="00A54D45"/>
    <w:rsid w:val="00A5500D"/>
    <w:rsid w:val="00A57C18"/>
    <w:rsid w:val="00A618D9"/>
    <w:rsid w:val="00A61D6C"/>
    <w:rsid w:val="00A668D3"/>
    <w:rsid w:val="00A67672"/>
    <w:rsid w:val="00A718C3"/>
    <w:rsid w:val="00A71D20"/>
    <w:rsid w:val="00A71D51"/>
    <w:rsid w:val="00A72C77"/>
    <w:rsid w:val="00A76B33"/>
    <w:rsid w:val="00A76FCB"/>
    <w:rsid w:val="00A80B85"/>
    <w:rsid w:val="00A82F42"/>
    <w:rsid w:val="00A83A6C"/>
    <w:rsid w:val="00A852B0"/>
    <w:rsid w:val="00A860E4"/>
    <w:rsid w:val="00A878CB"/>
    <w:rsid w:val="00A87A6B"/>
    <w:rsid w:val="00A90C77"/>
    <w:rsid w:val="00A91EA0"/>
    <w:rsid w:val="00A92646"/>
    <w:rsid w:val="00A948A6"/>
    <w:rsid w:val="00A94A1C"/>
    <w:rsid w:val="00A958E5"/>
    <w:rsid w:val="00A959D4"/>
    <w:rsid w:val="00A95C8C"/>
    <w:rsid w:val="00A96016"/>
    <w:rsid w:val="00A960DB"/>
    <w:rsid w:val="00A96910"/>
    <w:rsid w:val="00A96AB5"/>
    <w:rsid w:val="00A9742B"/>
    <w:rsid w:val="00A9763E"/>
    <w:rsid w:val="00AA0862"/>
    <w:rsid w:val="00AA327B"/>
    <w:rsid w:val="00AA46A2"/>
    <w:rsid w:val="00AA4B73"/>
    <w:rsid w:val="00AA62EA"/>
    <w:rsid w:val="00AA667D"/>
    <w:rsid w:val="00AA6ADF"/>
    <w:rsid w:val="00AA7177"/>
    <w:rsid w:val="00AA796D"/>
    <w:rsid w:val="00AA7C92"/>
    <w:rsid w:val="00AB0B41"/>
    <w:rsid w:val="00AB1ACE"/>
    <w:rsid w:val="00AB1D8A"/>
    <w:rsid w:val="00AB215A"/>
    <w:rsid w:val="00AB295D"/>
    <w:rsid w:val="00AB40FD"/>
    <w:rsid w:val="00AB4B75"/>
    <w:rsid w:val="00AB587E"/>
    <w:rsid w:val="00AB6B05"/>
    <w:rsid w:val="00AC0404"/>
    <w:rsid w:val="00AC1963"/>
    <w:rsid w:val="00AC2B17"/>
    <w:rsid w:val="00AC2BB0"/>
    <w:rsid w:val="00AC3EA5"/>
    <w:rsid w:val="00AC4F5A"/>
    <w:rsid w:val="00AC63AE"/>
    <w:rsid w:val="00AC7C93"/>
    <w:rsid w:val="00AD03A2"/>
    <w:rsid w:val="00AD2591"/>
    <w:rsid w:val="00AD3404"/>
    <w:rsid w:val="00AD76D9"/>
    <w:rsid w:val="00AD7D77"/>
    <w:rsid w:val="00AE039D"/>
    <w:rsid w:val="00AE0CFF"/>
    <w:rsid w:val="00AE17A8"/>
    <w:rsid w:val="00AE2CFA"/>
    <w:rsid w:val="00AE2F6C"/>
    <w:rsid w:val="00AE470E"/>
    <w:rsid w:val="00AE4C1A"/>
    <w:rsid w:val="00AE4E96"/>
    <w:rsid w:val="00AE6CB7"/>
    <w:rsid w:val="00AE72D1"/>
    <w:rsid w:val="00AF034F"/>
    <w:rsid w:val="00AF0365"/>
    <w:rsid w:val="00AF1C02"/>
    <w:rsid w:val="00AF4553"/>
    <w:rsid w:val="00AF47DC"/>
    <w:rsid w:val="00AF6B25"/>
    <w:rsid w:val="00AF736D"/>
    <w:rsid w:val="00AF7F94"/>
    <w:rsid w:val="00B007E0"/>
    <w:rsid w:val="00B00C26"/>
    <w:rsid w:val="00B0334B"/>
    <w:rsid w:val="00B03C6F"/>
    <w:rsid w:val="00B05D4B"/>
    <w:rsid w:val="00B070E7"/>
    <w:rsid w:val="00B07156"/>
    <w:rsid w:val="00B115D3"/>
    <w:rsid w:val="00B119F6"/>
    <w:rsid w:val="00B12236"/>
    <w:rsid w:val="00B1362A"/>
    <w:rsid w:val="00B136AB"/>
    <w:rsid w:val="00B13C9B"/>
    <w:rsid w:val="00B14533"/>
    <w:rsid w:val="00B14857"/>
    <w:rsid w:val="00B14A96"/>
    <w:rsid w:val="00B21549"/>
    <w:rsid w:val="00B22165"/>
    <w:rsid w:val="00B238C1"/>
    <w:rsid w:val="00B255CE"/>
    <w:rsid w:val="00B26BDB"/>
    <w:rsid w:val="00B26E80"/>
    <w:rsid w:val="00B26FE6"/>
    <w:rsid w:val="00B27F0B"/>
    <w:rsid w:val="00B3045B"/>
    <w:rsid w:val="00B30E8A"/>
    <w:rsid w:val="00B3130B"/>
    <w:rsid w:val="00B338A0"/>
    <w:rsid w:val="00B352AA"/>
    <w:rsid w:val="00B3566C"/>
    <w:rsid w:val="00B362E7"/>
    <w:rsid w:val="00B3739B"/>
    <w:rsid w:val="00B4025C"/>
    <w:rsid w:val="00B40C36"/>
    <w:rsid w:val="00B42DBD"/>
    <w:rsid w:val="00B433BC"/>
    <w:rsid w:val="00B44F30"/>
    <w:rsid w:val="00B45DEF"/>
    <w:rsid w:val="00B461CE"/>
    <w:rsid w:val="00B46970"/>
    <w:rsid w:val="00B471E0"/>
    <w:rsid w:val="00B47D0C"/>
    <w:rsid w:val="00B508EF"/>
    <w:rsid w:val="00B50A92"/>
    <w:rsid w:val="00B51A85"/>
    <w:rsid w:val="00B51CC5"/>
    <w:rsid w:val="00B53157"/>
    <w:rsid w:val="00B53375"/>
    <w:rsid w:val="00B537A6"/>
    <w:rsid w:val="00B53EAA"/>
    <w:rsid w:val="00B540FE"/>
    <w:rsid w:val="00B544D5"/>
    <w:rsid w:val="00B54DE5"/>
    <w:rsid w:val="00B55DF4"/>
    <w:rsid w:val="00B5606F"/>
    <w:rsid w:val="00B566CB"/>
    <w:rsid w:val="00B5771B"/>
    <w:rsid w:val="00B57C44"/>
    <w:rsid w:val="00B57DDB"/>
    <w:rsid w:val="00B6033A"/>
    <w:rsid w:val="00B606F3"/>
    <w:rsid w:val="00B60C4E"/>
    <w:rsid w:val="00B620AA"/>
    <w:rsid w:val="00B623C1"/>
    <w:rsid w:val="00B6281F"/>
    <w:rsid w:val="00B62AE1"/>
    <w:rsid w:val="00B62B0F"/>
    <w:rsid w:val="00B6410B"/>
    <w:rsid w:val="00B71669"/>
    <w:rsid w:val="00B72160"/>
    <w:rsid w:val="00B72DF4"/>
    <w:rsid w:val="00B7342E"/>
    <w:rsid w:val="00B738E1"/>
    <w:rsid w:val="00B73ACD"/>
    <w:rsid w:val="00B748F8"/>
    <w:rsid w:val="00B7496A"/>
    <w:rsid w:val="00B77020"/>
    <w:rsid w:val="00B77CFB"/>
    <w:rsid w:val="00B808E1"/>
    <w:rsid w:val="00B8097C"/>
    <w:rsid w:val="00B81742"/>
    <w:rsid w:val="00B8458E"/>
    <w:rsid w:val="00B85332"/>
    <w:rsid w:val="00B9072A"/>
    <w:rsid w:val="00B90EFD"/>
    <w:rsid w:val="00B918DD"/>
    <w:rsid w:val="00B91ED7"/>
    <w:rsid w:val="00B97B1E"/>
    <w:rsid w:val="00BA0F3D"/>
    <w:rsid w:val="00BA4151"/>
    <w:rsid w:val="00BA437D"/>
    <w:rsid w:val="00BB07D2"/>
    <w:rsid w:val="00BB1EA6"/>
    <w:rsid w:val="00BB30B3"/>
    <w:rsid w:val="00BB4AEB"/>
    <w:rsid w:val="00BB5496"/>
    <w:rsid w:val="00BB68AB"/>
    <w:rsid w:val="00BB6BC3"/>
    <w:rsid w:val="00BB6F5E"/>
    <w:rsid w:val="00BC040C"/>
    <w:rsid w:val="00BC08B6"/>
    <w:rsid w:val="00BC1E14"/>
    <w:rsid w:val="00BC2CC3"/>
    <w:rsid w:val="00BC3B85"/>
    <w:rsid w:val="00BC3DC7"/>
    <w:rsid w:val="00BC443B"/>
    <w:rsid w:val="00BC65EA"/>
    <w:rsid w:val="00BC7004"/>
    <w:rsid w:val="00BD0B1C"/>
    <w:rsid w:val="00BD2882"/>
    <w:rsid w:val="00BD2C7F"/>
    <w:rsid w:val="00BD4205"/>
    <w:rsid w:val="00BD498E"/>
    <w:rsid w:val="00BD5315"/>
    <w:rsid w:val="00BE091F"/>
    <w:rsid w:val="00BE1B07"/>
    <w:rsid w:val="00BE209F"/>
    <w:rsid w:val="00BE23B8"/>
    <w:rsid w:val="00BE2FC8"/>
    <w:rsid w:val="00BE44F7"/>
    <w:rsid w:val="00BE455D"/>
    <w:rsid w:val="00BE4EE9"/>
    <w:rsid w:val="00BE4F08"/>
    <w:rsid w:val="00BE541A"/>
    <w:rsid w:val="00BE5611"/>
    <w:rsid w:val="00BE6FF5"/>
    <w:rsid w:val="00BE706B"/>
    <w:rsid w:val="00BF02FD"/>
    <w:rsid w:val="00BF1C31"/>
    <w:rsid w:val="00BF1FF0"/>
    <w:rsid w:val="00BF2F2A"/>
    <w:rsid w:val="00BF3036"/>
    <w:rsid w:val="00BF3E5C"/>
    <w:rsid w:val="00BF4144"/>
    <w:rsid w:val="00BF443E"/>
    <w:rsid w:val="00BF69A1"/>
    <w:rsid w:val="00BF6E98"/>
    <w:rsid w:val="00BF77EB"/>
    <w:rsid w:val="00C00BDA"/>
    <w:rsid w:val="00C02016"/>
    <w:rsid w:val="00C02188"/>
    <w:rsid w:val="00C0300D"/>
    <w:rsid w:val="00C036B1"/>
    <w:rsid w:val="00C04512"/>
    <w:rsid w:val="00C06179"/>
    <w:rsid w:val="00C06BD7"/>
    <w:rsid w:val="00C07CD9"/>
    <w:rsid w:val="00C1050E"/>
    <w:rsid w:val="00C1130E"/>
    <w:rsid w:val="00C123C6"/>
    <w:rsid w:val="00C1313C"/>
    <w:rsid w:val="00C13B3C"/>
    <w:rsid w:val="00C15B63"/>
    <w:rsid w:val="00C2069C"/>
    <w:rsid w:val="00C21229"/>
    <w:rsid w:val="00C21E1B"/>
    <w:rsid w:val="00C2239D"/>
    <w:rsid w:val="00C22757"/>
    <w:rsid w:val="00C2280E"/>
    <w:rsid w:val="00C24C70"/>
    <w:rsid w:val="00C25890"/>
    <w:rsid w:val="00C25A29"/>
    <w:rsid w:val="00C25E48"/>
    <w:rsid w:val="00C2795A"/>
    <w:rsid w:val="00C27B84"/>
    <w:rsid w:val="00C30342"/>
    <w:rsid w:val="00C334DB"/>
    <w:rsid w:val="00C345D0"/>
    <w:rsid w:val="00C35744"/>
    <w:rsid w:val="00C361B7"/>
    <w:rsid w:val="00C37B86"/>
    <w:rsid w:val="00C42921"/>
    <w:rsid w:val="00C4335A"/>
    <w:rsid w:val="00C433EF"/>
    <w:rsid w:val="00C435B9"/>
    <w:rsid w:val="00C44AC0"/>
    <w:rsid w:val="00C464CD"/>
    <w:rsid w:val="00C4668D"/>
    <w:rsid w:val="00C46717"/>
    <w:rsid w:val="00C4754B"/>
    <w:rsid w:val="00C47E8A"/>
    <w:rsid w:val="00C506EE"/>
    <w:rsid w:val="00C51214"/>
    <w:rsid w:val="00C517E4"/>
    <w:rsid w:val="00C526B1"/>
    <w:rsid w:val="00C5415B"/>
    <w:rsid w:val="00C5495B"/>
    <w:rsid w:val="00C54B5B"/>
    <w:rsid w:val="00C5534B"/>
    <w:rsid w:val="00C555D0"/>
    <w:rsid w:val="00C563E7"/>
    <w:rsid w:val="00C56525"/>
    <w:rsid w:val="00C568E8"/>
    <w:rsid w:val="00C56973"/>
    <w:rsid w:val="00C56DED"/>
    <w:rsid w:val="00C57181"/>
    <w:rsid w:val="00C57203"/>
    <w:rsid w:val="00C60DDA"/>
    <w:rsid w:val="00C619AE"/>
    <w:rsid w:val="00C62029"/>
    <w:rsid w:val="00C624F9"/>
    <w:rsid w:val="00C6317C"/>
    <w:rsid w:val="00C64484"/>
    <w:rsid w:val="00C64739"/>
    <w:rsid w:val="00C660D1"/>
    <w:rsid w:val="00C667A4"/>
    <w:rsid w:val="00C7036A"/>
    <w:rsid w:val="00C70648"/>
    <w:rsid w:val="00C7082B"/>
    <w:rsid w:val="00C70BAC"/>
    <w:rsid w:val="00C71FF9"/>
    <w:rsid w:val="00C7315C"/>
    <w:rsid w:val="00C753EE"/>
    <w:rsid w:val="00C759AC"/>
    <w:rsid w:val="00C7693A"/>
    <w:rsid w:val="00C779E0"/>
    <w:rsid w:val="00C77A3C"/>
    <w:rsid w:val="00C77F0B"/>
    <w:rsid w:val="00C806FC"/>
    <w:rsid w:val="00C80FFA"/>
    <w:rsid w:val="00C81EE3"/>
    <w:rsid w:val="00C82181"/>
    <w:rsid w:val="00C83199"/>
    <w:rsid w:val="00C84F5B"/>
    <w:rsid w:val="00C85107"/>
    <w:rsid w:val="00C8523E"/>
    <w:rsid w:val="00C85D11"/>
    <w:rsid w:val="00C87489"/>
    <w:rsid w:val="00C9151E"/>
    <w:rsid w:val="00C915C9"/>
    <w:rsid w:val="00C92505"/>
    <w:rsid w:val="00C934E0"/>
    <w:rsid w:val="00C94F5C"/>
    <w:rsid w:val="00C9524E"/>
    <w:rsid w:val="00C954DE"/>
    <w:rsid w:val="00C95B9B"/>
    <w:rsid w:val="00C95C03"/>
    <w:rsid w:val="00C962C2"/>
    <w:rsid w:val="00C96550"/>
    <w:rsid w:val="00CA013D"/>
    <w:rsid w:val="00CA2720"/>
    <w:rsid w:val="00CA35F4"/>
    <w:rsid w:val="00CA3FCA"/>
    <w:rsid w:val="00CA4F9A"/>
    <w:rsid w:val="00CA5108"/>
    <w:rsid w:val="00CA539E"/>
    <w:rsid w:val="00CA53F2"/>
    <w:rsid w:val="00CA6620"/>
    <w:rsid w:val="00CA7635"/>
    <w:rsid w:val="00CA7A40"/>
    <w:rsid w:val="00CA7E47"/>
    <w:rsid w:val="00CB07F7"/>
    <w:rsid w:val="00CB0AFB"/>
    <w:rsid w:val="00CB0C0B"/>
    <w:rsid w:val="00CB0EA5"/>
    <w:rsid w:val="00CB4518"/>
    <w:rsid w:val="00CB4A17"/>
    <w:rsid w:val="00CB62C0"/>
    <w:rsid w:val="00CB794B"/>
    <w:rsid w:val="00CC071B"/>
    <w:rsid w:val="00CC1103"/>
    <w:rsid w:val="00CC25F0"/>
    <w:rsid w:val="00CC3945"/>
    <w:rsid w:val="00CC4A77"/>
    <w:rsid w:val="00CC6C91"/>
    <w:rsid w:val="00CC6E4F"/>
    <w:rsid w:val="00CD2174"/>
    <w:rsid w:val="00CD3185"/>
    <w:rsid w:val="00CD55A6"/>
    <w:rsid w:val="00CD6409"/>
    <w:rsid w:val="00CD65A4"/>
    <w:rsid w:val="00CD78F9"/>
    <w:rsid w:val="00CE0AE4"/>
    <w:rsid w:val="00CE18C0"/>
    <w:rsid w:val="00CE2F28"/>
    <w:rsid w:val="00CE32FB"/>
    <w:rsid w:val="00CE3F84"/>
    <w:rsid w:val="00CE4780"/>
    <w:rsid w:val="00CE4C40"/>
    <w:rsid w:val="00CE7220"/>
    <w:rsid w:val="00CF2FC9"/>
    <w:rsid w:val="00CF40CA"/>
    <w:rsid w:val="00CF4316"/>
    <w:rsid w:val="00CF4719"/>
    <w:rsid w:val="00CF4AB3"/>
    <w:rsid w:val="00CF5550"/>
    <w:rsid w:val="00CF573F"/>
    <w:rsid w:val="00CF619C"/>
    <w:rsid w:val="00CF73E4"/>
    <w:rsid w:val="00CF7DD8"/>
    <w:rsid w:val="00CF7EB4"/>
    <w:rsid w:val="00D00CC0"/>
    <w:rsid w:val="00D00F9D"/>
    <w:rsid w:val="00D014D2"/>
    <w:rsid w:val="00D02433"/>
    <w:rsid w:val="00D0279D"/>
    <w:rsid w:val="00D02C46"/>
    <w:rsid w:val="00D02DD2"/>
    <w:rsid w:val="00D0420B"/>
    <w:rsid w:val="00D0577F"/>
    <w:rsid w:val="00D06299"/>
    <w:rsid w:val="00D063F0"/>
    <w:rsid w:val="00D077E6"/>
    <w:rsid w:val="00D07D03"/>
    <w:rsid w:val="00D11C1D"/>
    <w:rsid w:val="00D16188"/>
    <w:rsid w:val="00D169C2"/>
    <w:rsid w:val="00D16AA6"/>
    <w:rsid w:val="00D17BE4"/>
    <w:rsid w:val="00D203C0"/>
    <w:rsid w:val="00D20691"/>
    <w:rsid w:val="00D2093F"/>
    <w:rsid w:val="00D21470"/>
    <w:rsid w:val="00D22231"/>
    <w:rsid w:val="00D2468D"/>
    <w:rsid w:val="00D250CE"/>
    <w:rsid w:val="00D25219"/>
    <w:rsid w:val="00D25504"/>
    <w:rsid w:val="00D25720"/>
    <w:rsid w:val="00D25BED"/>
    <w:rsid w:val="00D25C8A"/>
    <w:rsid w:val="00D26083"/>
    <w:rsid w:val="00D27E05"/>
    <w:rsid w:val="00D308B4"/>
    <w:rsid w:val="00D31286"/>
    <w:rsid w:val="00D31E71"/>
    <w:rsid w:val="00D32039"/>
    <w:rsid w:val="00D332FE"/>
    <w:rsid w:val="00D3445C"/>
    <w:rsid w:val="00D34E9C"/>
    <w:rsid w:val="00D353F7"/>
    <w:rsid w:val="00D35E78"/>
    <w:rsid w:val="00D3629A"/>
    <w:rsid w:val="00D366C8"/>
    <w:rsid w:val="00D3719A"/>
    <w:rsid w:val="00D3733E"/>
    <w:rsid w:val="00D4030C"/>
    <w:rsid w:val="00D40957"/>
    <w:rsid w:val="00D40CE5"/>
    <w:rsid w:val="00D41009"/>
    <w:rsid w:val="00D4198A"/>
    <w:rsid w:val="00D451AF"/>
    <w:rsid w:val="00D458EF"/>
    <w:rsid w:val="00D463C5"/>
    <w:rsid w:val="00D47490"/>
    <w:rsid w:val="00D51986"/>
    <w:rsid w:val="00D5227C"/>
    <w:rsid w:val="00D537B6"/>
    <w:rsid w:val="00D542F3"/>
    <w:rsid w:val="00D55371"/>
    <w:rsid w:val="00D56A95"/>
    <w:rsid w:val="00D60312"/>
    <w:rsid w:val="00D60347"/>
    <w:rsid w:val="00D60665"/>
    <w:rsid w:val="00D60DBA"/>
    <w:rsid w:val="00D62A31"/>
    <w:rsid w:val="00D63158"/>
    <w:rsid w:val="00D63418"/>
    <w:rsid w:val="00D64A12"/>
    <w:rsid w:val="00D65178"/>
    <w:rsid w:val="00D65739"/>
    <w:rsid w:val="00D66359"/>
    <w:rsid w:val="00D66AC8"/>
    <w:rsid w:val="00D678C5"/>
    <w:rsid w:val="00D70894"/>
    <w:rsid w:val="00D70AD1"/>
    <w:rsid w:val="00D71E2F"/>
    <w:rsid w:val="00D7361B"/>
    <w:rsid w:val="00D74AC9"/>
    <w:rsid w:val="00D74ED8"/>
    <w:rsid w:val="00D80628"/>
    <w:rsid w:val="00D82C89"/>
    <w:rsid w:val="00D83559"/>
    <w:rsid w:val="00D84181"/>
    <w:rsid w:val="00D84579"/>
    <w:rsid w:val="00D846D6"/>
    <w:rsid w:val="00D851CA"/>
    <w:rsid w:val="00D85A5F"/>
    <w:rsid w:val="00D86090"/>
    <w:rsid w:val="00D87E3A"/>
    <w:rsid w:val="00D90D55"/>
    <w:rsid w:val="00D9133D"/>
    <w:rsid w:val="00D91695"/>
    <w:rsid w:val="00D91D0F"/>
    <w:rsid w:val="00D93AC4"/>
    <w:rsid w:val="00D93F4D"/>
    <w:rsid w:val="00D94762"/>
    <w:rsid w:val="00D94ED8"/>
    <w:rsid w:val="00D954E3"/>
    <w:rsid w:val="00D9638D"/>
    <w:rsid w:val="00D967FC"/>
    <w:rsid w:val="00DA0633"/>
    <w:rsid w:val="00DA120D"/>
    <w:rsid w:val="00DA122A"/>
    <w:rsid w:val="00DA33CB"/>
    <w:rsid w:val="00DA34F5"/>
    <w:rsid w:val="00DA481A"/>
    <w:rsid w:val="00DA4942"/>
    <w:rsid w:val="00DA4B4B"/>
    <w:rsid w:val="00DA559F"/>
    <w:rsid w:val="00DA5B2E"/>
    <w:rsid w:val="00DA5D39"/>
    <w:rsid w:val="00DA65A3"/>
    <w:rsid w:val="00DB08E2"/>
    <w:rsid w:val="00DB0B3F"/>
    <w:rsid w:val="00DB0B56"/>
    <w:rsid w:val="00DB1D34"/>
    <w:rsid w:val="00DB2180"/>
    <w:rsid w:val="00DB25B5"/>
    <w:rsid w:val="00DB26DA"/>
    <w:rsid w:val="00DB2E30"/>
    <w:rsid w:val="00DB30A2"/>
    <w:rsid w:val="00DB38AE"/>
    <w:rsid w:val="00DB3A91"/>
    <w:rsid w:val="00DB57EA"/>
    <w:rsid w:val="00DB6F77"/>
    <w:rsid w:val="00DB71A4"/>
    <w:rsid w:val="00DB78AF"/>
    <w:rsid w:val="00DC15B4"/>
    <w:rsid w:val="00DC2C36"/>
    <w:rsid w:val="00DC31A7"/>
    <w:rsid w:val="00DC3485"/>
    <w:rsid w:val="00DC42C6"/>
    <w:rsid w:val="00DC680D"/>
    <w:rsid w:val="00DD024F"/>
    <w:rsid w:val="00DD1D23"/>
    <w:rsid w:val="00DD2999"/>
    <w:rsid w:val="00DD38C3"/>
    <w:rsid w:val="00DD42A4"/>
    <w:rsid w:val="00DD5402"/>
    <w:rsid w:val="00DD76A5"/>
    <w:rsid w:val="00DE1677"/>
    <w:rsid w:val="00DE23BC"/>
    <w:rsid w:val="00DE2E75"/>
    <w:rsid w:val="00DE4E1D"/>
    <w:rsid w:val="00DE4EFE"/>
    <w:rsid w:val="00DE57ED"/>
    <w:rsid w:val="00DE5E10"/>
    <w:rsid w:val="00DE606F"/>
    <w:rsid w:val="00DE661E"/>
    <w:rsid w:val="00DE758A"/>
    <w:rsid w:val="00DF118A"/>
    <w:rsid w:val="00DF3247"/>
    <w:rsid w:val="00DF5340"/>
    <w:rsid w:val="00DF6C56"/>
    <w:rsid w:val="00DF753E"/>
    <w:rsid w:val="00DF7D8D"/>
    <w:rsid w:val="00E006C7"/>
    <w:rsid w:val="00E00CB9"/>
    <w:rsid w:val="00E00CBB"/>
    <w:rsid w:val="00E03145"/>
    <w:rsid w:val="00E035F1"/>
    <w:rsid w:val="00E04F0A"/>
    <w:rsid w:val="00E054CF"/>
    <w:rsid w:val="00E05CF0"/>
    <w:rsid w:val="00E06A76"/>
    <w:rsid w:val="00E07355"/>
    <w:rsid w:val="00E13217"/>
    <w:rsid w:val="00E1371F"/>
    <w:rsid w:val="00E142E5"/>
    <w:rsid w:val="00E14D35"/>
    <w:rsid w:val="00E1532B"/>
    <w:rsid w:val="00E15EF9"/>
    <w:rsid w:val="00E17697"/>
    <w:rsid w:val="00E2026C"/>
    <w:rsid w:val="00E206B4"/>
    <w:rsid w:val="00E20F88"/>
    <w:rsid w:val="00E21270"/>
    <w:rsid w:val="00E22986"/>
    <w:rsid w:val="00E2324B"/>
    <w:rsid w:val="00E23CF4"/>
    <w:rsid w:val="00E23F34"/>
    <w:rsid w:val="00E2687A"/>
    <w:rsid w:val="00E26BA0"/>
    <w:rsid w:val="00E27C2E"/>
    <w:rsid w:val="00E3110D"/>
    <w:rsid w:val="00E320B7"/>
    <w:rsid w:val="00E32A0F"/>
    <w:rsid w:val="00E33A95"/>
    <w:rsid w:val="00E346C9"/>
    <w:rsid w:val="00E34A1F"/>
    <w:rsid w:val="00E36481"/>
    <w:rsid w:val="00E364C0"/>
    <w:rsid w:val="00E366B5"/>
    <w:rsid w:val="00E36F87"/>
    <w:rsid w:val="00E4048B"/>
    <w:rsid w:val="00E410C5"/>
    <w:rsid w:val="00E424D7"/>
    <w:rsid w:val="00E42C3C"/>
    <w:rsid w:val="00E440D7"/>
    <w:rsid w:val="00E4546E"/>
    <w:rsid w:val="00E45966"/>
    <w:rsid w:val="00E47BDF"/>
    <w:rsid w:val="00E50A37"/>
    <w:rsid w:val="00E51E19"/>
    <w:rsid w:val="00E51F3F"/>
    <w:rsid w:val="00E522EA"/>
    <w:rsid w:val="00E52B62"/>
    <w:rsid w:val="00E53AFE"/>
    <w:rsid w:val="00E5467A"/>
    <w:rsid w:val="00E55192"/>
    <w:rsid w:val="00E55F9B"/>
    <w:rsid w:val="00E56FF9"/>
    <w:rsid w:val="00E577D4"/>
    <w:rsid w:val="00E5796E"/>
    <w:rsid w:val="00E57FCF"/>
    <w:rsid w:val="00E600E5"/>
    <w:rsid w:val="00E61E7A"/>
    <w:rsid w:val="00E63242"/>
    <w:rsid w:val="00E63D3F"/>
    <w:rsid w:val="00E63FC9"/>
    <w:rsid w:val="00E65650"/>
    <w:rsid w:val="00E65AED"/>
    <w:rsid w:val="00E65C90"/>
    <w:rsid w:val="00E65DD6"/>
    <w:rsid w:val="00E66F69"/>
    <w:rsid w:val="00E671EC"/>
    <w:rsid w:val="00E673BA"/>
    <w:rsid w:val="00E67578"/>
    <w:rsid w:val="00E70714"/>
    <w:rsid w:val="00E71AA3"/>
    <w:rsid w:val="00E74E73"/>
    <w:rsid w:val="00E757EE"/>
    <w:rsid w:val="00E75B0A"/>
    <w:rsid w:val="00E76F31"/>
    <w:rsid w:val="00E77A26"/>
    <w:rsid w:val="00E77C86"/>
    <w:rsid w:val="00E8053B"/>
    <w:rsid w:val="00E80737"/>
    <w:rsid w:val="00E81AA3"/>
    <w:rsid w:val="00E82018"/>
    <w:rsid w:val="00E834F9"/>
    <w:rsid w:val="00E83A1E"/>
    <w:rsid w:val="00E848BF"/>
    <w:rsid w:val="00E84CA8"/>
    <w:rsid w:val="00E85F29"/>
    <w:rsid w:val="00E90347"/>
    <w:rsid w:val="00E911F0"/>
    <w:rsid w:val="00E919B4"/>
    <w:rsid w:val="00E93172"/>
    <w:rsid w:val="00E938E0"/>
    <w:rsid w:val="00E9397C"/>
    <w:rsid w:val="00E949A6"/>
    <w:rsid w:val="00E949B9"/>
    <w:rsid w:val="00E958EC"/>
    <w:rsid w:val="00E9613B"/>
    <w:rsid w:val="00E96EF0"/>
    <w:rsid w:val="00EA0E64"/>
    <w:rsid w:val="00EA140C"/>
    <w:rsid w:val="00EA2253"/>
    <w:rsid w:val="00EA273F"/>
    <w:rsid w:val="00EA2920"/>
    <w:rsid w:val="00EA344F"/>
    <w:rsid w:val="00EA376A"/>
    <w:rsid w:val="00EA7AD8"/>
    <w:rsid w:val="00EB4B1E"/>
    <w:rsid w:val="00EB4DA1"/>
    <w:rsid w:val="00EB6B5C"/>
    <w:rsid w:val="00EB75DD"/>
    <w:rsid w:val="00EC0014"/>
    <w:rsid w:val="00EC1F74"/>
    <w:rsid w:val="00EC4654"/>
    <w:rsid w:val="00EC4DA5"/>
    <w:rsid w:val="00EC7AD2"/>
    <w:rsid w:val="00ED0505"/>
    <w:rsid w:val="00ED083E"/>
    <w:rsid w:val="00ED1A89"/>
    <w:rsid w:val="00ED2308"/>
    <w:rsid w:val="00ED39F3"/>
    <w:rsid w:val="00ED3C22"/>
    <w:rsid w:val="00ED3D3B"/>
    <w:rsid w:val="00ED405D"/>
    <w:rsid w:val="00ED6125"/>
    <w:rsid w:val="00ED6E58"/>
    <w:rsid w:val="00ED75C1"/>
    <w:rsid w:val="00EE00B4"/>
    <w:rsid w:val="00EE07DC"/>
    <w:rsid w:val="00EE1F86"/>
    <w:rsid w:val="00EE206D"/>
    <w:rsid w:val="00EE22D1"/>
    <w:rsid w:val="00EE2447"/>
    <w:rsid w:val="00EE2BB2"/>
    <w:rsid w:val="00EE3628"/>
    <w:rsid w:val="00EE3D71"/>
    <w:rsid w:val="00EE56AA"/>
    <w:rsid w:val="00EE754E"/>
    <w:rsid w:val="00EE7E10"/>
    <w:rsid w:val="00EF0BCF"/>
    <w:rsid w:val="00EF10A3"/>
    <w:rsid w:val="00EF1385"/>
    <w:rsid w:val="00EF359A"/>
    <w:rsid w:val="00EF6FCB"/>
    <w:rsid w:val="00F00758"/>
    <w:rsid w:val="00F00E6B"/>
    <w:rsid w:val="00F0335C"/>
    <w:rsid w:val="00F033E3"/>
    <w:rsid w:val="00F03423"/>
    <w:rsid w:val="00F0408A"/>
    <w:rsid w:val="00F0444A"/>
    <w:rsid w:val="00F04C88"/>
    <w:rsid w:val="00F04EE4"/>
    <w:rsid w:val="00F05330"/>
    <w:rsid w:val="00F06370"/>
    <w:rsid w:val="00F065D0"/>
    <w:rsid w:val="00F066EB"/>
    <w:rsid w:val="00F10505"/>
    <w:rsid w:val="00F113A5"/>
    <w:rsid w:val="00F12937"/>
    <w:rsid w:val="00F136ED"/>
    <w:rsid w:val="00F13945"/>
    <w:rsid w:val="00F14257"/>
    <w:rsid w:val="00F1720B"/>
    <w:rsid w:val="00F17C74"/>
    <w:rsid w:val="00F17CC1"/>
    <w:rsid w:val="00F20767"/>
    <w:rsid w:val="00F2200A"/>
    <w:rsid w:val="00F232D3"/>
    <w:rsid w:val="00F23C54"/>
    <w:rsid w:val="00F245E5"/>
    <w:rsid w:val="00F251D6"/>
    <w:rsid w:val="00F25CF6"/>
    <w:rsid w:val="00F2658F"/>
    <w:rsid w:val="00F30463"/>
    <w:rsid w:val="00F3072D"/>
    <w:rsid w:val="00F315C3"/>
    <w:rsid w:val="00F32BD0"/>
    <w:rsid w:val="00F335ED"/>
    <w:rsid w:val="00F33607"/>
    <w:rsid w:val="00F37AFE"/>
    <w:rsid w:val="00F42131"/>
    <w:rsid w:val="00F50F54"/>
    <w:rsid w:val="00F53476"/>
    <w:rsid w:val="00F5559F"/>
    <w:rsid w:val="00F56C01"/>
    <w:rsid w:val="00F56FF7"/>
    <w:rsid w:val="00F573FA"/>
    <w:rsid w:val="00F61122"/>
    <w:rsid w:val="00F61D9D"/>
    <w:rsid w:val="00F63723"/>
    <w:rsid w:val="00F63AD9"/>
    <w:rsid w:val="00F65015"/>
    <w:rsid w:val="00F653F6"/>
    <w:rsid w:val="00F654A7"/>
    <w:rsid w:val="00F66B28"/>
    <w:rsid w:val="00F66B36"/>
    <w:rsid w:val="00F66BD9"/>
    <w:rsid w:val="00F67DB6"/>
    <w:rsid w:val="00F72240"/>
    <w:rsid w:val="00F726CE"/>
    <w:rsid w:val="00F72D4D"/>
    <w:rsid w:val="00F75E5E"/>
    <w:rsid w:val="00F7624D"/>
    <w:rsid w:val="00F76F94"/>
    <w:rsid w:val="00F804D2"/>
    <w:rsid w:val="00F805CF"/>
    <w:rsid w:val="00F83936"/>
    <w:rsid w:val="00F84833"/>
    <w:rsid w:val="00F85807"/>
    <w:rsid w:val="00F861DF"/>
    <w:rsid w:val="00F87F66"/>
    <w:rsid w:val="00F9036B"/>
    <w:rsid w:val="00F91184"/>
    <w:rsid w:val="00F91534"/>
    <w:rsid w:val="00F91573"/>
    <w:rsid w:val="00F9208A"/>
    <w:rsid w:val="00F92099"/>
    <w:rsid w:val="00F921AC"/>
    <w:rsid w:val="00F96BAC"/>
    <w:rsid w:val="00F9702F"/>
    <w:rsid w:val="00FA219F"/>
    <w:rsid w:val="00FA358E"/>
    <w:rsid w:val="00FA375F"/>
    <w:rsid w:val="00FA557B"/>
    <w:rsid w:val="00FA740C"/>
    <w:rsid w:val="00FA797A"/>
    <w:rsid w:val="00FA7C4A"/>
    <w:rsid w:val="00FA7CCF"/>
    <w:rsid w:val="00FB0468"/>
    <w:rsid w:val="00FB15E7"/>
    <w:rsid w:val="00FB169C"/>
    <w:rsid w:val="00FB1EA5"/>
    <w:rsid w:val="00FB29C3"/>
    <w:rsid w:val="00FB2C01"/>
    <w:rsid w:val="00FB4F1A"/>
    <w:rsid w:val="00FB51BF"/>
    <w:rsid w:val="00FB6193"/>
    <w:rsid w:val="00FB6DEB"/>
    <w:rsid w:val="00FC0783"/>
    <w:rsid w:val="00FC0AD9"/>
    <w:rsid w:val="00FC1093"/>
    <w:rsid w:val="00FC39D6"/>
    <w:rsid w:val="00FC6A08"/>
    <w:rsid w:val="00FC6C2E"/>
    <w:rsid w:val="00FC764E"/>
    <w:rsid w:val="00FC788F"/>
    <w:rsid w:val="00FD0D79"/>
    <w:rsid w:val="00FD10CC"/>
    <w:rsid w:val="00FD26AE"/>
    <w:rsid w:val="00FD3A4F"/>
    <w:rsid w:val="00FD4271"/>
    <w:rsid w:val="00FD4A66"/>
    <w:rsid w:val="00FD5891"/>
    <w:rsid w:val="00FD5EDF"/>
    <w:rsid w:val="00FD7041"/>
    <w:rsid w:val="00FD72BD"/>
    <w:rsid w:val="00FD7922"/>
    <w:rsid w:val="00FD7BF2"/>
    <w:rsid w:val="00FE0EF5"/>
    <w:rsid w:val="00FE2B1F"/>
    <w:rsid w:val="00FE3C0E"/>
    <w:rsid w:val="00FE40DD"/>
    <w:rsid w:val="00FE515A"/>
    <w:rsid w:val="00FE65B6"/>
    <w:rsid w:val="00FE75EC"/>
    <w:rsid w:val="00FF11C5"/>
    <w:rsid w:val="00FF1664"/>
    <w:rsid w:val="00FF21AB"/>
    <w:rsid w:val="00FF2D96"/>
    <w:rsid w:val="00FF3FBB"/>
    <w:rsid w:val="00FF5489"/>
    <w:rsid w:val="00FF6497"/>
    <w:rsid w:val="00FF6AC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A93B76"/>
  <w15:chartTrackingRefBased/>
  <w15:docId w15:val="{D45309BA-5F75-44CA-A9F2-31D772873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4FA9"/>
    <w:pPr>
      <w:spacing w:line="276" w:lineRule="auto"/>
    </w:pPr>
    <w:rPr>
      <w:rFonts w:ascii="Arial" w:hAnsi="Arial" w:cs="Arial"/>
      <w:kern w:val="0"/>
      <w:sz w:val="22"/>
      <w:lang w:val="e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A667D"/>
    <w:pPr>
      <w:ind w:leftChars="200" w:left="480"/>
    </w:pPr>
  </w:style>
  <w:style w:type="paragraph" w:styleId="a4">
    <w:name w:val="Date"/>
    <w:basedOn w:val="a"/>
    <w:next w:val="a"/>
    <w:link w:val="a5"/>
    <w:uiPriority w:val="99"/>
    <w:semiHidden/>
    <w:unhideWhenUsed/>
    <w:rsid w:val="00B620AA"/>
    <w:pPr>
      <w:jc w:val="right"/>
    </w:pPr>
  </w:style>
  <w:style w:type="character" w:customStyle="1" w:styleId="a5">
    <w:name w:val="日期 字元"/>
    <w:basedOn w:val="a0"/>
    <w:link w:val="a4"/>
    <w:uiPriority w:val="99"/>
    <w:semiHidden/>
    <w:rsid w:val="00B620AA"/>
    <w:rPr>
      <w:rFonts w:ascii="Arial" w:hAnsi="Arial" w:cs="Arial"/>
      <w:kern w:val="0"/>
      <w:sz w:val="22"/>
      <w:lang w:val="en"/>
    </w:rPr>
  </w:style>
  <w:style w:type="paragraph" w:styleId="a6">
    <w:name w:val="header"/>
    <w:basedOn w:val="a"/>
    <w:link w:val="a7"/>
    <w:uiPriority w:val="99"/>
    <w:unhideWhenUsed/>
    <w:rsid w:val="001625CF"/>
    <w:pPr>
      <w:tabs>
        <w:tab w:val="center" w:pos="4153"/>
        <w:tab w:val="right" w:pos="8306"/>
      </w:tabs>
      <w:snapToGrid w:val="0"/>
    </w:pPr>
    <w:rPr>
      <w:sz w:val="20"/>
      <w:szCs w:val="20"/>
    </w:rPr>
  </w:style>
  <w:style w:type="character" w:customStyle="1" w:styleId="a7">
    <w:name w:val="頁首 字元"/>
    <w:basedOn w:val="a0"/>
    <w:link w:val="a6"/>
    <w:uiPriority w:val="99"/>
    <w:rsid w:val="001625CF"/>
    <w:rPr>
      <w:rFonts w:ascii="Arial" w:hAnsi="Arial" w:cs="Arial"/>
      <w:kern w:val="0"/>
      <w:sz w:val="20"/>
      <w:szCs w:val="20"/>
      <w:lang w:val="en"/>
    </w:rPr>
  </w:style>
  <w:style w:type="paragraph" w:styleId="a8">
    <w:name w:val="footer"/>
    <w:basedOn w:val="a"/>
    <w:link w:val="a9"/>
    <w:uiPriority w:val="99"/>
    <w:unhideWhenUsed/>
    <w:rsid w:val="001625CF"/>
    <w:pPr>
      <w:tabs>
        <w:tab w:val="center" w:pos="4153"/>
        <w:tab w:val="right" w:pos="8306"/>
      </w:tabs>
      <w:snapToGrid w:val="0"/>
    </w:pPr>
    <w:rPr>
      <w:sz w:val="20"/>
      <w:szCs w:val="20"/>
    </w:rPr>
  </w:style>
  <w:style w:type="character" w:customStyle="1" w:styleId="a9">
    <w:name w:val="頁尾 字元"/>
    <w:basedOn w:val="a0"/>
    <w:link w:val="a8"/>
    <w:uiPriority w:val="99"/>
    <w:rsid w:val="001625CF"/>
    <w:rPr>
      <w:rFonts w:ascii="Arial" w:hAnsi="Arial" w:cs="Arial"/>
      <w:kern w:val="0"/>
      <w:sz w:val="20"/>
      <w:szCs w:val="20"/>
      <w:lang w:val="en"/>
    </w:rPr>
  </w:style>
  <w:style w:type="table" w:styleId="aa">
    <w:name w:val="Table Grid"/>
    <w:basedOn w:val="a1"/>
    <w:uiPriority w:val="59"/>
    <w:rsid w:val="004D62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0"/>
    <w:uiPriority w:val="99"/>
    <w:semiHidden/>
    <w:rsid w:val="00C42921"/>
    <w:rPr>
      <w:color w:val="666666"/>
    </w:rPr>
  </w:style>
  <w:style w:type="paragraph" w:styleId="Web">
    <w:name w:val="Normal (Web)"/>
    <w:basedOn w:val="a"/>
    <w:uiPriority w:val="99"/>
    <w:semiHidden/>
    <w:unhideWhenUsed/>
    <w:rsid w:val="008944C0"/>
    <w:rPr>
      <w:rFonts w:ascii="Times New Roman" w:hAnsi="Times New Roman" w:cs="Times New Roman"/>
      <w:sz w:val="24"/>
      <w:szCs w:val="24"/>
    </w:rPr>
  </w:style>
  <w:style w:type="paragraph" w:styleId="ac">
    <w:name w:val="Bibliography"/>
    <w:basedOn w:val="a"/>
    <w:next w:val="a"/>
    <w:uiPriority w:val="37"/>
    <w:unhideWhenUsed/>
    <w:rsid w:val="00B544D5"/>
    <w:pPr>
      <w:spacing w:line="480" w:lineRule="auto"/>
      <w:ind w:left="720" w:hanging="720"/>
    </w:pPr>
  </w:style>
  <w:style w:type="character" w:styleId="ad">
    <w:name w:val="line number"/>
    <w:basedOn w:val="a0"/>
    <w:uiPriority w:val="99"/>
    <w:semiHidden/>
    <w:unhideWhenUsed/>
    <w:rsid w:val="006E7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66357">
      <w:bodyDiv w:val="1"/>
      <w:marLeft w:val="0"/>
      <w:marRight w:val="0"/>
      <w:marTop w:val="0"/>
      <w:marBottom w:val="0"/>
      <w:divBdr>
        <w:top w:val="none" w:sz="0" w:space="0" w:color="auto"/>
        <w:left w:val="none" w:sz="0" w:space="0" w:color="auto"/>
        <w:bottom w:val="none" w:sz="0" w:space="0" w:color="auto"/>
        <w:right w:val="none" w:sz="0" w:space="0" w:color="auto"/>
      </w:divBdr>
    </w:div>
    <w:div w:id="955020399">
      <w:bodyDiv w:val="1"/>
      <w:marLeft w:val="0"/>
      <w:marRight w:val="0"/>
      <w:marTop w:val="0"/>
      <w:marBottom w:val="0"/>
      <w:divBdr>
        <w:top w:val="none" w:sz="0" w:space="0" w:color="auto"/>
        <w:left w:val="none" w:sz="0" w:space="0" w:color="auto"/>
        <w:bottom w:val="none" w:sz="0" w:space="0" w:color="auto"/>
        <w:right w:val="none" w:sz="0" w:space="0" w:color="auto"/>
      </w:divBdr>
    </w:div>
    <w:div w:id="1503471454">
      <w:bodyDiv w:val="1"/>
      <w:marLeft w:val="0"/>
      <w:marRight w:val="0"/>
      <w:marTop w:val="0"/>
      <w:marBottom w:val="0"/>
      <w:divBdr>
        <w:top w:val="none" w:sz="0" w:space="0" w:color="auto"/>
        <w:left w:val="none" w:sz="0" w:space="0" w:color="auto"/>
        <w:bottom w:val="none" w:sz="0" w:space="0" w:color="auto"/>
        <w:right w:val="none" w:sz="0" w:space="0" w:color="auto"/>
      </w:divBdr>
    </w:div>
    <w:div w:id="1880781285">
      <w:bodyDiv w:val="1"/>
      <w:marLeft w:val="0"/>
      <w:marRight w:val="0"/>
      <w:marTop w:val="0"/>
      <w:marBottom w:val="0"/>
      <w:divBdr>
        <w:top w:val="none" w:sz="0" w:space="0" w:color="auto"/>
        <w:left w:val="none" w:sz="0" w:space="0" w:color="auto"/>
        <w:bottom w:val="none" w:sz="0" w:space="0" w:color="auto"/>
        <w:right w:val="none" w:sz="0" w:space="0" w:color="auto"/>
      </w:divBdr>
    </w:div>
    <w:div w:id="2062821190">
      <w:bodyDiv w:val="1"/>
      <w:marLeft w:val="0"/>
      <w:marRight w:val="0"/>
      <w:marTop w:val="0"/>
      <w:marBottom w:val="0"/>
      <w:divBdr>
        <w:top w:val="none" w:sz="0" w:space="0" w:color="auto"/>
        <w:left w:val="none" w:sz="0" w:space="0" w:color="auto"/>
        <w:bottom w:val="none" w:sz="0" w:space="0" w:color="auto"/>
        <w:right w:val="none" w:sz="0" w:space="0" w:color="auto"/>
      </w:divBdr>
      <w:divsChild>
        <w:div w:id="682241457">
          <w:marLeft w:val="806"/>
          <w:marRight w:val="0"/>
          <w:marTop w:val="112"/>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18689</TotalTime>
  <Pages>38</Pages>
  <Words>8307</Words>
  <Characters>158183</Characters>
  <Application>Microsoft Office Word</Application>
  <DocSecurity>0</DocSecurity>
  <Lines>7190</Lines>
  <Paragraphs>3783</Paragraphs>
  <ScaleCrop>false</ScaleCrop>
  <Company/>
  <LinksUpToDate>false</LinksUpToDate>
  <CharactersWithSpaces>162707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Wenyu Chiou</dc:creator>
  <cp:keywords/>
  <dc:description/>
  <cp:lastModifiedBy>Wenyu Chiou</cp:lastModifiedBy>
  <cp:revision>1380</cp:revision>
  <dcterms:created xsi:type="dcterms:W3CDTF">2024-12-31T13:24:00Z</dcterms:created>
  <dcterms:modified xsi:type="dcterms:W3CDTF">2026-01-28T05:01:00Z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4f7677df-e33a-437b-bc02-4ee63bc3d8ea</vt:lpwstr>
  </property>
  <property fmtid="{D5CDD505-2E9C-101B-9397-08002B2CF9AE}" pid="3" name="ZOTERO_PREF_2">
    <vt:lpwstr>alAbbreviations" value="true"/&gt;&lt;pref name="dontAskDelayCitationUpdates" value="true"/&gt;&lt;/prefs&gt;&lt;/data&gt;</vt:lpwstr>
  </property>
  <property fmtid="{D5CDD505-2E9C-101B-9397-08002B2CF9AE}" pid="4" name="ZOTERO_PREF_1">
    <vt:lpwstr>&lt;data data-version="3" zotero-version="7.0.32"&gt;&lt;session id="NkoeHmjM"/&gt;&lt;style id="http://www.zotero.org/styles/apa" locale="en-US" hasBibliography="1" bibliographyStyleHasBeenSet="1"/&gt;&lt;prefs&gt;&lt;pref name="fieldType" value="Field"/&gt;&lt;pref name="automaticJourn</vt:lpwstr>
  </property>
</Properties>
</file>