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t>We define behavioral hallucination as a proposed skill a_t that is infeasible under the agent state s_(t-1) and the active institutional constraints at decision time. Let A(s_(t-1)) be the feasible skill set induced by the skill registry and validator chain. A proposal is counted as behavioral hallucination when a_t not in A(s_(t-1)). This differs from textual hallucination (Ji et al., 2023): the text can be fluent while the proposed behavior is physically or institutionally invalid. Operationally, we count blocking validation outcomes (ERROR-level rejection) as hallucinations; WARNING-level outcomes are not counted as hallucinations.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t>R_H = n_hall / n_total          (1)</ns0:t>
      </ns0:r>
    </ns0:p>
    <ns0:p ns2:paraId="51E4AFA6" ns2:textId="77777777" ns0:rsidR="00F803C3" ns0:rsidRDefault="00000000">
      <ns0:pPr>
        <ns0:spacing ns0:after="120" ns0:line="480" ns0:lineRule="auto"/>
        <ns0:jc ns0:val="both"/>
      </ns0:pPr>
      <ns0:r>
        <ns0:t>We define Effective Behavioral Entropy (EBE) as a diversity measure adjusted by hallucination burden:</ns0:t>
      </ns0:r>
    </ns0:p>
    <ns0:p ns2:paraId="4D3349D9" ns2:textId="77777777" ns0:rsidR="00F803C3" ns0:rsidRDefault="00000000">
      <ns0:pPr>
        <ns0:spacing ns0:before="120" ns0:after="120" ns0:line="480" ns0:lineRule="auto"/>
        <ns0:jc ns0:val="center"/>
      </ns0:pPr>
      <ns0:r>
        <ns0:t>EBE = H_norm * (1 - R_H), with H_norm = H / log2(k) and H = -sum_i p_i log2(p_i)          (2)</ns0:t>
      </ns0:r>
    </ns0:p>
    <ns0:p ns2:paraId="43A4DBCE" ns2:textId="77777777" ns0:rsidR="00F803C3" ns0:rsidRDefault="00000000">
      <ns0:pPr>
        <ns0:spacing ns0:after="120" ns0:line="480" ns0:lineRule="auto"/>
        <ns0:jc ns0:val="both"/>
      </ns0:pPr>
      <ns0:r>
        <ns0:t>Here k is the number of available skills and p_i is the observed frequency of skill i. EBE approaches 1 only when action diversity is high and hallucination is low. For corrected entropy reporting, hallucinated proposals are remapped to the domain baseline fallback skill (DoNothing in flood, maintain_demand in irrigation). We report raw entropy, corrected entropy, and EBE together for transparent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