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implemented as a governance middleware between LLM reasoning and simulation state transition. The LLM layer proposes candidate actions, WAGF evaluates whether those proposals satisfy explicit behavioral and feasibility constraints, and the execution layer applies only approved actions to the environment (Figure 1). This separation fixes responsibility boundaries: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is processed through a broker pipeline aligned with the architecture components. First, the Context Builder assembles agent state, environment signals, and retrieved memory cues. Second, the Model Adapter and Parser converts LLM output into a normalized skill proposal using layered parsing fallbacks (strict JSON, enclosure delimiters, regex extraction, and numeric fallback). Third, the Skill Registry resolves the proposed skill and checks declared preconditions and postconditions. Fourth, the Validator applies prioritized governance rules and either approves, warns, or blocks the proposal. When blocked, WAGF returns rule-level feedback to the LLM and requests a revised proposal within a bounded retry budget.</ns0:t>
      </ns0:r>
    </ns0:p>
    <ns0:p ns2:paraId="00DADB2F" ns2:textId="77777777" ns0:rsidR="00F803C3" ns0:rsidRDefault="00000000">
      <ns0:pPr>
        <ns0:spacing ns0:after="120" ns0:line="480" ns0:lineRule="auto"/>
        <ns0:ind ns0:firstLine="360"/>
        <ns0:jc ns0:val="both"/>
      </ns0:pPr>
      <ns0:r>
        <ns0:t>Only validated skills are handed to Action Execution in the simulation layer. In parallel, the Auditor records proposal content, validation outcomes, and final execution status as structured traces for reproducibility and post-hoc diagnosis. Observation outcomes are then fed back to memory retrieval and reflection modules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operational sequence defines how LLM proposals are translated into executable actions under explicit governance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implements three cross-cutting governance components across this pipeline. Governance rules are organized by priority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which preserves safety-critical state information under token constraints. Together, these components improve behavioral plausibility while maintaining bounded heterogeneity rather than forcing deterministic uniformity.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to each domain is expressed through YAML skill definitions, validator rules, and prompt templates rather than core-code branching. In the flood case, skill options include elevation, insurance purchase, and relocation under a Protection Motivation Theory appraisal scaffold. In the irrigation case, skill options include demand adjustment, efficiency adoption, and acreage reduction under a dual-appraisal (Water Scarcity Assessment and Adaptive Capacity Assessment) decision scaffold. This configuration-first pattern supports transfer to additional water-system settings while preserving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