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第7周会议记录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2020.10.23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东中院教室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7270" cy="2668270"/>
            <wp:effectExtent l="0" t="0" r="11430" b="11430"/>
            <wp:docPr id="1" name="图片 1" descr="15bf50ac63f83759ff799faa16e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bf50ac63f83759ff799faa16e4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（邵昊南在徐文焯后方）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本周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在与实验中心老师共同探讨的基础上，研究设计方案，讨论第二次汇报内容。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二、主要讨论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1、实验中心老师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强烈建议查询更多资料以利用其他工程师的现成设计，并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推荐网站“米思米”；易俊杰推荐“今日制造”，可以与SolidWorks直接配合使用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；邵昊南推荐“沐风网”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。小组计划访问相关网站并借鉴已有设计方案，一方面了解专业工程师的设计思路，另一方面使小组设计更趋于常规和简洁。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2、系统功能分解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（1）前置支撑系统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①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主体机构为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摇杆滑块，类似雨伞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伞骨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设计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杆件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与足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数目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一致为4，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提升稳定性。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实验中心老师指出，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受弹簧自身结构的影响，拉伸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弹簧的稳定性优于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压缩。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从已设计的草图看，拉伸或压缩仅需要改变弹簧的安装位置即可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：当弹簧安装于右侧，也即滑块和限位薄板之间，轮子受到管壁径向压力时，而弹簧处于压缩状态，提供支持力；而当弹簧安装于左侧，滑块向右移动，弹簧拉伸提供拉力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908300" cy="2318385"/>
            <wp:effectExtent l="0" t="0" r="0" b="571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t="5146" r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②形似闭门器的设计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考虑到目前机构的形状，与闭门器十分类似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不需要额外主动力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，可以考虑此方式，理论上比弹簧更可靠更易维护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877695" cy="1597025"/>
            <wp:effectExtent l="0" t="0" r="1905" b="3175"/>
            <wp:docPr id="12" name="图片 12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g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③一段式设计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考虑是否可以不将机体设计成两段，而仅采用一段式设计，如此从动机构是否能更加稳定，结构是否更加精简。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576705" cy="1908810"/>
            <wp:effectExtent l="0" t="0" r="10795" b="8890"/>
            <wp:docPr id="11" name="图片 11" descr="2020-10-25_17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0-25_1754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转向系统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①球铰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初版方案认为球铰是可靠的设计方案，受外壳限制，球铰杆自身将提供限位效果，从而防止转向系统发生过度转角导致卡死的现象。但球铰存在一个明显的问题，即转角后不提供自发回复至直线方向的扭矩或力，有可能导致系统夹角处于不可预期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1691005" cy="1798320"/>
            <wp:effectExtent l="0" t="0" r="10795" b="5080"/>
            <wp:docPr id="7" name="图片 7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万向节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>存在与球铰类似的问题，自由度过高。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59330" cy="1386840"/>
            <wp:effectExtent l="0" t="0" r="127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single"/>
          <w:lang w:val="en-US" w:eastAsia="zh-CN"/>
        </w:rPr>
        <w:t>③并联气压杆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并联气压杆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撑杆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）的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得到老师赞同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，该方式与课堂提到的并联机器人类似。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090420" cy="1683385"/>
            <wp:effectExtent l="0" t="0" r="5080" b="5715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rcRect t="15589" b="588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（3）后置支撑系统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①套筒与弹簧结合，使用键连接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103245" cy="2021205"/>
            <wp:effectExtent l="0" t="0" r="8255" b="10795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"/>
                    <pic:cNvPicPr>
                      <a:picLocks noChangeAspect="1"/>
                    </pic:cNvPicPr>
                  </pic:nvPicPr>
                  <pic:blipFill>
                    <a:blip r:embed="rId11"/>
                    <a:srcRect t="12663" b="20592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弹簧实现伸缩功能，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但弹簧在径向几乎没有强度，因此使用套筒限位，但套筒引入的自由度导致绕自身轴向的旋转运动无法控制，电机提供的动力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无法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顺利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传递，因而增加键式连接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Ⅱ.事实上舍弃键的设计，而将键与较细的轴杆连为一体，也能实现相应的功能。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Ⅲ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但本设计存在设计难点，即电机提供的旋转无法顺利传导至轮部。我们与汽车发动机原理作比较，并建立与车体固连的空间左手系，轮轴与x轴重合，故轮面的法线沿x轴，发动机主动杆与z轴重合，前进方向为z轴。但本课题与之不同，虽然电机主动杆也沿z轴方向，但轮面的法线沿y轴，仅使用锥齿轮无法解决传动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2894330" cy="1666240"/>
            <wp:effectExtent l="0" t="0" r="1270" b="10160"/>
            <wp:docPr id="5" name="图片 5" descr="2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532"/>
                    <pic:cNvPicPr>
                      <a:picLocks noChangeAspect="1"/>
                    </pic:cNvPicPr>
                  </pic:nvPicPr>
                  <pic:blipFill>
                    <a:blip r:embed="rId12"/>
                    <a:srcRect l="2987" t="6442" r="16482" b="29294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②凸轮+弹簧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使用凸轮实现轴向距离的变化，使用弹簧提供反向扭矩方式多余的滑动，该方案存在巨大缺陷，即轴向移动距离几乎完全依赖凸轮形状，要想实现一定范围内的伸缩，需要足够大、形状足够巧妙的凸轮，不是一个灵活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③万向节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实验中心老师指出，万向节几乎应用于所有机器人领域的设计，在传动与转向方面有极其优异的表现。此部分设计将在“传动系统”部分做简要说明。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④附加建议：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一个轴上连两个轮提升稳定性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在回顾我组技术背景调研的资料过程中发现，螺旋推进式机器人往往使用图中方式，即同一个轴上连接两个轮子的方式提升稳定性，值得考虑。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2665095" cy="2183130"/>
            <wp:effectExtent l="0" t="0" r="1905" b="1270"/>
            <wp:docPr id="9" name="图片 9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（4）传动系统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可变啮合角齿轮？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这是一种很自然的想法，一般情况下使用齿轮传动，两齿轮的相对位置是固定的，那么是否存在一种锥齿轮，其啮合角可变且传动功能不受影响？很显然的一点是，锥齿轮在不同半径的齿距并非固定值，当角度改变时极难做到保持良好的啮合，可以查阅更多资料进行探究，但本想法并不列入计划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②锥齿轮+套筒+键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与“后置支撑系统”中描述相同，但实验中心老师指出，工程设计应当考虑市场应用，也应当尽量使用“标准设计”，该种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使用键连接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的设计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不常规，不是很符合工业生产要求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，且其传动效果仅限于理论，几乎没有足够的实践支持。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锥齿轮+万向节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+蜗轮蜗杆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.实验中心老师指出，可以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不考虑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安装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差速装置，因为驱动力足够大且机器重量不大，即使转弯也可以不使用全部4个驱动轮驱动，少量的滑动可以接受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Ⅱ.锥齿轮传动是最基础的设计，之后使用万向节连接，既能达到传动效果，又能达到顺应管壁尺寸的效果。需要查阅更多资料以了解万向节的传动属性与弯曲角度，以选择合适的标准件。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599690" cy="3053715"/>
            <wp:effectExtent l="0" t="0" r="3810" b="6985"/>
            <wp:docPr id="13" name="图片 13" descr="2020-10-25_18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0-25_1822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（5）动力系统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建议采用24V直流电机，提供足够大的扭矩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（6）电控系统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本部分主要由张泽楷同学负责，目前处于起步阶段，小组成员将根据需求进行相应的研究学习。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已基本确定各部分的设计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下周工作安排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汇报项目进度，进一步查阅资料，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进行更加严谨的分析，考虑生成对应的平面图和3D模型，并查阅资料了解合适的零件选型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，完善设计思路。必要时再联系实验中心老师寻求帮助。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sectPr>
      <w:pgSz w:w="11906" w:h="16838"/>
      <w:pgMar w:top="1247" w:right="1134" w:bottom="102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40CEE"/>
    <w:multiLevelType w:val="singleLevel"/>
    <w:tmpl w:val="90C40C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DE9F6A"/>
    <w:multiLevelType w:val="singleLevel"/>
    <w:tmpl w:val="22DE9F6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B42D4"/>
    <w:rsid w:val="05BA0BBD"/>
    <w:rsid w:val="07D03927"/>
    <w:rsid w:val="0B3B3A72"/>
    <w:rsid w:val="0E801A32"/>
    <w:rsid w:val="0F4476B8"/>
    <w:rsid w:val="103C12D0"/>
    <w:rsid w:val="1287156F"/>
    <w:rsid w:val="1BF03AB2"/>
    <w:rsid w:val="1DFD6173"/>
    <w:rsid w:val="1EFE4556"/>
    <w:rsid w:val="1F341AB4"/>
    <w:rsid w:val="230A3E16"/>
    <w:rsid w:val="28703287"/>
    <w:rsid w:val="2C2740CF"/>
    <w:rsid w:val="30D95B56"/>
    <w:rsid w:val="33F50DA6"/>
    <w:rsid w:val="3E1E7EA5"/>
    <w:rsid w:val="3F011DF6"/>
    <w:rsid w:val="41461F75"/>
    <w:rsid w:val="45FC5C3E"/>
    <w:rsid w:val="467D2DB7"/>
    <w:rsid w:val="48DB71E4"/>
    <w:rsid w:val="4B045935"/>
    <w:rsid w:val="51704BE6"/>
    <w:rsid w:val="537737A9"/>
    <w:rsid w:val="561F0BB0"/>
    <w:rsid w:val="5CDD1E31"/>
    <w:rsid w:val="60790CED"/>
    <w:rsid w:val="618F7484"/>
    <w:rsid w:val="622D1215"/>
    <w:rsid w:val="623312BE"/>
    <w:rsid w:val="664A69B3"/>
    <w:rsid w:val="691D4C28"/>
    <w:rsid w:val="69A7796C"/>
    <w:rsid w:val="69E368F3"/>
    <w:rsid w:val="6E9F2A15"/>
    <w:rsid w:val="70E07D11"/>
    <w:rsid w:val="71544394"/>
    <w:rsid w:val="75F35998"/>
    <w:rsid w:val="78240224"/>
    <w:rsid w:val="7C4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2020-10-24T11:53:00Z</dcterms:created>
  <dc:creator>ShnYoungline</dc:creator>
  <cp:lastModifiedBy>Smiling Clown </cp:lastModifiedBy>
  <dcterms:modified xsi:type="dcterms:W3CDTF">2020-10-25T10:35:53Z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