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AIRCRAFT OPERATING LEASE AGREEMENT (SAMPLE — FICTITIOUS)</w:t>
      </w:r>
    </w:p>
    <w:p>
      <w:r>
        <w:rPr>
          <w:i/>
          <w:sz w:val="18"/>
        </w:rPr>
        <w:t>Fictitious sample. Not a real legal document. Not legal advice.</w:t>
      </w:r>
    </w:p>
    <w:p>
      <w:pPr>
        <w:pStyle w:val="Heading2"/>
      </w:pPr>
      <w:r>
        <w:t>Document</w:t>
      </w:r>
    </w:p>
    <w:p>
      <w:pPr>
        <w:pStyle w:val="Heading1"/>
      </w:pPr>
      <w:r>
        <w:t>AIRCRAFT OPERATING LEASE AGREEMENT (SAMPLE — FICTITIOUS)</w:t>
      </w:r>
    </w:p>
    <w:p>
      <w:r>
        <w:rPr>
          <w:b/>
        </w:rPr>
        <w:t>This is a fictitious sample for testing the legal-helper. It is not a real lease and is not legal advice.</w:t>
      </w:r>
    </w:p>
    <w:p>
      <w:r>
        <w:t>This Aircraft Operating Lease Agreement (this "Lease") is made on 1 May 2026 between:</w:t>
      </w:r>
    </w:p>
    <w:p>
      <w:pPr>
        <w:pStyle w:val="ListBullet"/>
      </w:pPr>
      <w:r>
        <w:rPr>
          <w:b/>
        </w:rPr>
        <w:t>Lessor</w:t>
      </w:r>
      <w:r>
        <w:t>: Aurora Aviation Capital Limited, a company organized in Ireland ("Lessor")</w:t>
      </w:r>
    </w:p>
    <w:p>
      <w:pPr>
        <w:pStyle w:val="ListBullet"/>
      </w:pPr>
      <w:r>
        <w:rPr>
          <w:b/>
        </w:rPr>
        <w:t>Lessee</w:t>
      </w:r>
      <w:r>
        <w:t>: Coastline Air Cargo Inc., a Delaware corporation ("Lessee")</w:t>
      </w:r>
    </w:p>
    <w:p>
      <w:pPr>
        <w:pStyle w:val="ListBullet"/>
      </w:pPr>
      <w:r>
        <w:rPr>
          <w:b/>
        </w:rPr>
        <w:t>Aircraft</w:t>
      </w:r>
      <w:r>
        <w:t>: One (1) Airbus A321-200 (the "Aircraft"), MSN 7842, with two CFM56-5B3/3 engines (ESN 778231 and ESN 778237), and one APU (Honeywell 131-9A, S/N 4421-A).</w:t>
      </w:r>
    </w:p>
    <w:p>
      <w:r>
        <w:t>ARTICLE 1 — DEFINITIONS AND INTERPRETATION</w:t>
      </w:r>
    </w:p>
    <w:p>
      <w:r>
        <w:t>"AD" means an airworthiness directive issued by the FAA, EASA, or any other applicable Aviation Authority. "Lease Term" begins on the Delivery Date and ends on the date that is one hundred twenty (120) Months thereafter. "Rent" means the basic rent of US$310,000 per Month payable in advance. "Supplemental Rent" means amounts payable by Lessee as maintenance reserves under Schedule 3.</w:t>
      </w:r>
    </w:p>
    <w:p>
      <w:r>
        <w:t>ARTICLE 2 — DELIVERY AND ACCEPTANCE</w:t>
      </w:r>
    </w:p>
    <w:p>
      <w:r>
        <w:t>2.1 Lessor shall deliver the Aircraft to Lessee at Shannon (EINN) on or about the Delivery Date.</w:t>
      </w:r>
    </w:p>
    <w:p>
      <w:r>
        <w:t>2.2 Lessee shall conduct a Technical Acceptance and execute the Acceptance Certificate substantially in the form of Schedule 1.</w:t>
      </w:r>
    </w:p>
    <w:p>
      <w:r>
        <w:t>2.3 Title to the Aircraft remains with Lessor at all times.</w:t>
      </w:r>
    </w:p>
    <w:p>
      <w:r>
        <w:t>ARTICLE 3 — RENT AND MAINTENANCE RESERVES</w:t>
      </w:r>
    </w:p>
    <w:p>
      <w:r>
        <w:t>3.1 Rent: US$310,000 per Month.</w:t>
      </w:r>
    </w:p>
    <w:p>
      <w:r>
        <w:t>3.2 Maintenance reserves payable as set forth on Schedule 3.</w:t>
      </w:r>
    </w:p>
    <w:p>
      <w:r>
        <w:t>3.3 Rent payment is absolute and unconditional under all circumstances ("hell-or-high-water").</w:t>
      </w:r>
    </w:p>
    <w:p>
      <w:r>
        <w:t>ARTICLE 4 — INSURANCE</w:t>
      </w:r>
    </w:p>
    <w:p>
      <w:r>
        <w:t>4.1 Lessee shall maintain hull all-risks insurance for an Agreed Value of US$32,000,000.</w:t>
      </w:r>
    </w:p>
    <w:p>
      <w:r>
        <w:t>4.2 Lessee shall maintain hull war and allied perils insurance.</w:t>
      </w:r>
    </w:p>
    <w:p>
      <w:r>
        <w:t>4.3 Lessee shall maintain combined single limit aviation liability insurance with a minimum limit of US$750,000,000 per occurrence.</w:t>
      </w:r>
    </w:p>
    <w:p>
      <w:r>
        <w:t>4.4 Lessor and Lessor's financiers shall be named as additional insureds with AVN67B and AVN52E or substantially equivalent endorsements.</w:t>
      </w:r>
    </w:p>
    <w:p>
      <w:r>
        <w:t>4.5 Insurance shall provide thirty (30) days' notice of cancellation (seven (7) days for war perils).</w:t>
      </w:r>
    </w:p>
    <w:p>
      <w:r>
        <w:t>ARTICLE 5 — AIRWORTHINESS DIRECTIVES AND SERVICE BULLETINS</w:t>
      </w:r>
    </w:p>
    <w:p>
      <w:r>
        <w:t>5.1 Lessee shall comply with all ADs and Mandatory SBs at its sole cost.</w:t>
      </w:r>
    </w:p>
    <w:p>
      <w:r>
        <w:t>5.2 For ADs issued prior to Delivery Date that have a compliance cost in excess of US$2,000,000 per Aircraft, Lessor shall reimburse Lessee for the portion in excess of that threshold, up to a maximum aggregate of US$5,000,000 over the Lease Term.</w:t>
      </w:r>
    </w:p>
    <w:p>
      <w:r>
        <w:t>ARTICLE 6 — RETURN CONDITIONS</w:t>
      </w:r>
    </w:p>
    <w:p>
      <w:r>
        <w:t>6.1 At the end of the Lease Term, Lessee shall return the Aircraft at a location designated by Lessor in the condition set forth in Schedule 4 (Return Conditions). Return conditions include minimum 50% of MPD interval remaining to next major check; LLP minimum remaining cycles greater of 5,000 cycles or 25% of original LLP life; continuous records from manufacture.</w:t>
      </w:r>
    </w:p>
    <w:p>
      <w:r>
        <w:t>ARTICLE 7 — TOTAL LOSS</w:t>
      </w:r>
    </w:p>
    <w:p>
      <w:r>
        <w:t>7.1 If the Aircraft suffers a Total Loss, Lessee shall pay Lessor the Stipulated Loss Value as set forth on Schedule 5.</w:t>
      </w:r>
    </w:p>
    <w:p>
      <w:r>
        <w:t>ARTICLE 8 — IDERA AND CAPE TOWN</w:t>
      </w:r>
    </w:p>
    <w:p>
      <w:r>
        <w:t>8.1 On or before the Delivery Date, Lessee shall execute and deliver an Irrevocable Deregistration and Export Request Authorization in the form prescribed by the Cape Town Convention and acceptable to the State of Registry.</w:t>
      </w:r>
    </w:p>
    <w:p>
      <w:r>
        <w:t>8.2 The Parties shall procure all registrations and consents required for the International Registry filings.</w:t>
      </w:r>
    </w:p>
    <w:p>
      <w:r>
        <w:t>ARTICLE 9 — ASSIGNMENT</w:t>
      </w:r>
    </w:p>
    <w:p>
      <w:r>
        <w:t>9.1 Lessor may assign this Lease to any rated lessor (A- / A3 or better) or recognized financial institution upon notice to Lessee.</w:t>
      </w:r>
    </w:p>
    <w:p>
      <w:r>
        <w:t>9.2 Lessee shall not assign or sub-lease the Aircraft without Lessor's prior written consent.</w:t>
      </w:r>
    </w:p>
    <w:p>
      <w:r>
        <w:t>ARTICLE 10 — INDEMNIFICATION</w:t>
      </w:r>
    </w:p>
    <w:p>
      <w:r>
        <w:t>10.1 Lessee shall indemnify Lessor against all Claims arising out of the operation, maintenance, possession, or use of the Aircraft, including environmental, regulatory, and tax Claims.</w:t>
      </w:r>
    </w:p>
    <w:p>
      <w:r>
        <w:t>10.2 Lessee's indemnification is uncapped.</w:t>
      </w:r>
    </w:p>
    <w:p>
      <w:r>
        <w:t>ARTICLE 11 — GOVERNING LAW; DISPUTE RESOLUTION</w:t>
      </w:r>
    </w:p>
    <w:p>
      <w:r>
        <w:t>11.1 This Lease is governed by the laws of the State of New York.</w:t>
      </w:r>
    </w:p>
    <w:p>
      <w:r>
        <w:t>11.2 The parties submit to the exclusive jurisdiction of the courts of New York County, New York.</w:t>
      </w:r>
    </w:p>
    <w:p>
      <w:r>
        <w:t>ARTICLE 12 — EXPORT CONTROLS</w:t>
      </w:r>
    </w:p>
    <w:p>
      <w:r>
        <w:t>12.1 Each party shall comply with applicable export-control laws including ITAR (22 CFR §§ 120-130) and EAR (15 CFR §§ 730-780) in respect of any controlled technical data or parts.</w:t>
      </w:r>
    </w:p>
    <w:p>
      <w:r>
        <w:t>ARTICLE 13 — MISCELLANEOUS</w:t>
      </w:r>
    </w:p>
    <w:p>
      <w:r>
        <w:t>13.1 No waiver, no novation without writing.</w:t>
      </w:r>
    </w:p>
    <w:p>
      <w:r>
        <w:t>13.2 Notices by email to the addresses set forth in Schedule 6.</w:t>
      </w:r>
    </w:p>
    <w:p>
      <w:r>
        <w:t>SCHEDULES</w:t>
      </w:r>
    </w:p>
    <w:p>
      <w:pPr>
        <w:pStyle w:val="ListBullet"/>
      </w:pPr>
      <w:r>
        <w:t>Schedule 1 — Form of Acceptance Certificate</w:t>
      </w:r>
    </w:p>
    <w:p>
      <w:pPr>
        <w:pStyle w:val="ListBullet"/>
      </w:pPr>
      <w:r>
        <w:t>Schedule 2 — Aircraft Description</w:t>
      </w:r>
    </w:p>
    <w:p>
      <w:pPr>
        <w:pStyle w:val="ListBullet"/>
      </w:pPr>
      <w:r>
        <w:t>Schedule 3 — Maintenance Reserves</w:t>
      </w:r>
    </w:p>
    <w:p>
      <w:pPr>
        <w:pStyle w:val="ListBullet"/>
      </w:pPr>
      <w:r>
        <w:t>Schedule 4 — Return Conditions</w:t>
      </w:r>
    </w:p>
    <w:p>
      <w:pPr>
        <w:pStyle w:val="ListBullet"/>
      </w:pPr>
      <w:r>
        <w:t>Schedule 5 — Stipulated Loss Value</w:t>
      </w:r>
    </w:p>
    <w:p>
      <w:pPr>
        <w:pStyle w:val="ListBullet"/>
      </w:pPr>
      <w:r>
        <w:t>Schedule 6 — Notice Addresses</w:t>
      </w:r>
    </w:p>
    <w:p>
      <w:r>
        <w:t>This sample omits many provisions a real lease would contain.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