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Situation Memo — Emergency Airworthiness Directive Issued (Sample / Fictitious)</w:t>
      </w:r>
    </w:p>
    <w:p>
      <w:r>
        <w:rPr>
          <w:i/>
          <w:sz w:val="18"/>
        </w:rPr>
        <w:t>Fictitious sample. Not a real legal document. Not legal advice.</w:t>
      </w:r>
    </w:p>
    <w:p>
      <w:pPr>
        <w:pStyle w:val="Heading2"/>
      </w:pPr>
      <w:r>
        <w:t>Document</w:t>
      </w:r>
    </w:p>
    <w:p>
      <w:pPr>
        <w:pStyle w:val="Heading1"/>
      </w:pPr>
      <w:r>
        <w:t>Situation Memo — Emergency Airworthiness Directive Issued (Sample / Fictitious)</w:t>
      </w:r>
    </w:p>
    <w:p>
      <w:r>
        <w:rPr>
          <w:b/>
        </w:rPr>
        <w:t>This is a fictitious sample for testing the legal-helper. Not legal advice.</w:t>
      </w:r>
    </w:p>
    <w:p>
      <w:r>
        <w:rPr>
          <w:b/>
        </w:rPr>
        <w:t>To</w:t>
      </w:r>
      <w:r>
        <w:t>: General Counsel, VP Flight Operations, Director of Maintenance, Director of Safety</w:t>
      </w:r>
    </w:p>
    <w:p>
      <w:r>
        <w:rPr>
          <w:b/>
        </w:rPr>
        <w:t>From</w:t>
      </w:r>
      <w:r>
        <w:t>: Legal — Aviation</w:t>
      </w:r>
    </w:p>
    <w:p>
      <w:r>
        <w:rPr>
          <w:b/>
        </w:rPr>
        <w:t>Re</w:t>
      </w:r>
      <w:r>
        <w:t>: Emergency Airworthiness Directive — CFM56-5B engines (fleet impact assessment)</w:t>
      </w:r>
    </w:p>
    <w:p>
      <w:r>
        <w:rPr>
          <w:b/>
        </w:rPr>
        <w:t>Date</w:t>
      </w:r>
      <w:r>
        <w:t>: 12 May 2026</w:t>
      </w:r>
    </w:p>
    <w:p>
      <w:r>
        <w:rPr>
          <w:b/>
        </w:rPr>
        <w:t>Privileged</w:t>
      </w:r>
      <w:r>
        <w:t>: Attorney-Client Privileged / Work Product</w:t>
      </w:r>
    </w:p>
    <w:p>
      <w:pPr>
        <w:pStyle w:val="Heading2"/>
      </w:pPr>
      <w:r>
        <w:t>Situation</w:t>
      </w:r>
    </w:p>
    <w:p>
      <w:r>
        <w:t>The FAA issued Emergency AD 2026-09-51 on 11 May 2026 affecting CFM56-5B engines with stage-2 high-pressure-turbine blade part number 338-101-407-0 installed. The AD requires either (a) immediate borescope inspection within the next 75 flight cycles or (b) replacement of the affected blades.</w:t>
      </w:r>
    </w:p>
    <w:p>
      <w:r>
        <w:t>Our fleet has 18 aircraft with affected engines. The cyclic compliance window is tight: based on current average daily utilization, approximately 6 aircraft must be inspected within 7 calendar days, and the remainder within 21 calendar days.</w:t>
      </w:r>
    </w:p>
    <w:p>
      <w:r>
        <w:t>EASA has not yet adopted an equivalent AD, but is expected to within 48 hours. The European Commission has been notified.</w:t>
      </w:r>
    </w:p>
    <w:p>
      <w:pPr>
        <w:pStyle w:val="Heading2"/>
      </w:pPr>
      <w:r>
        <w:t>Affected Fleet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Reg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MSN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Engine S/N (#1 / #2)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Cycles since last borescope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Compliance window</w:t>
            </w:r>
          </w:p>
        </w:tc>
      </w:tr>
      <w:tr>
        <w:tc>
          <w:tcPr>
            <w:tcW w:type="dxa" w:w="1872"/>
          </w:tcPr>
          <w:p>
            <w:r/>
            <w:r>
              <w:t>N401CA</w:t>
            </w:r>
          </w:p>
        </w:tc>
        <w:tc>
          <w:tcPr>
            <w:tcW w:type="dxa" w:w="1872"/>
          </w:tcPr>
          <w:p>
            <w:r/>
            <w:r>
              <w:t>7401</w:t>
            </w:r>
          </w:p>
        </w:tc>
        <w:tc>
          <w:tcPr>
            <w:tcW w:type="dxa" w:w="1872"/>
          </w:tcPr>
          <w:p>
            <w:r/>
            <w:r>
              <w:t>778101 / 778102</w:t>
            </w:r>
          </w:p>
        </w:tc>
        <w:tc>
          <w:tcPr>
            <w:tcW w:type="dxa" w:w="1872"/>
          </w:tcPr>
          <w:p>
            <w:r/>
            <w:r>
              <w:t>411 / 392</w:t>
            </w:r>
          </w:p>
        </w:tc>
        <w:tc>
          <w:tcPr>
            <w:tcW w:type="dxa" w:w="1872"/>
          </w:tcPr>
          <w:p>
            <w:r/>
            <w:r>
              <w:t>75 - cycles already accrued</w:t>
            </w:r>
          </w:p>
        </w:tc>
      </w:tr>
      <w:tr>
        <w:tc>
          <w:tcPr>
            <w:tcW w:type="dxa" w:w="1872"/>
          </w:tcPr>
          <w:p>
            <w:r/>
            <w:r>
              <w:t>... 17 more aircraft ...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pPr>
        <w:pStyle w:val="Heading2"/>
      </w:pPr>
      <w:r>
        <w:t>Immediate Legal Considerations</w:t>
      </w:r>
    </w:p>
    <w:p>
      <w:pPr>
        <w:pStyle w:val="ListNumber"/>
      </w:pPr>
      <w:r>
        <w:rPr>
          <w:b/>
        </w:rPr>
        <w:t>Reporting</w:t>
      </w:r>
      <w:r>
        <w:t>: this is an Emergency AD. Compliance status reports to FAA FSDO required as inspections complete. EU Reg. 376 occurrence reports required for any operator in EU airspace as scope unfolds.</w:t>
      </w:r>
    </w:p>
    <w:p>
      <w:pPr>
        <w:pStyle w:val="ListNumber"/>
      </w:pPr>
      <w:r>
        <w:rPr>
          <w:b/>
        </w:rPr>
        <w:t>Insurance</w:t>
      </w:r>
      <w:r>
        <w:t>: notify hull and liability insurers of fleet-wide compliance action; confirm coverage for AOG / ferry and replacement-engine costs.</w:t>
      </w:r>
    </w:p>
    <w:p>
      <w:pPr>
        <w:pStyle w:val="ListNumber"/>
      </w:pPr>
      <w:r>
        <w:rPr>
          <w:b/>
        </w:rPr>
        <w:t>Lessor notice</w:t>
      </w:r>
      <w:r>
        <w:t>: 12 of the 18 aircraft are on operating leases. Each lease requires written notice of AD compliance status. Schedule 5 of the Aurora-Coastline lease (sample) caps lessor AD reimbursement at US$5M aggregate.</w:t>
      </w:r>
    </w:p>
    <w:p>
      <w:pPr>
        <w:pStyle w:val="ListNumber"/>
      </w:pPr>
      <w:r>
        <w:rPr>
          <w:b/>
        </w:rPr>
        <w:t>MRO arrangements</w:t>
      </w:r>
      <w:r>
        <w:t>: Beta MRO (Part-145, EASA + FAA approval) capability for HPT blade replacement; capability list line confirmed for CFM56-5B/3.</w:t>
      </w:r>
    </w:p>
    <w:p>
      <w:pPr>
        <w:pStyle w:val="ListNumber"/>
      </w:pPr>
      <w:r>
        <w:rPr>
          <w:b/>
        </w:rPr>
        <w:t>Customer notification</w:t>
      </w:r>
      <w:r>
        <w:t>: charter customers under the K-series ACMI contracts have minimum-aircraft commitments; substitution provisions to be verified.</w:t>
      </w:r>
    </w:p>
    <w:p>
      <w:pPr>
        <w:pStyle w:val="ListNumber"/>
      </w:pPr>
      <w:r>
        <w:rPr>
          <w:b/>
        </w:rPr>
        <w:t>Cape Town Convention</w:t>
      </w:r>
      <w:r>
        <w:t>: no immediate default triggers; non-compliance with the AD would risk certificate action, in which case lessor remedies and IDERA enforcement could be triggered.</w:t>
      </w:r>
    </w:p>
    <w:p>
      <w:pPr>
        <w:pStyle w:val="Heading2"/>
      </w:pPr>
      <w:r>
        <w:t>Recommended Actions</w:t>
      </w:r>
    </w:p>
    <w:p>
      <w:pPr>
        <w:pStyle w:val="ListNumber"/>
      </w:pPr>
      <w:r>
        <w:t>Open an AD compliance war room (DOM lead; legal observer).</w:t>
      </w:r>
    </w:p>
    <w:p>
      <w:pPr>
        <w:pStyle w:val="ListNumber"/>
      </w:pPr>
      <w:r>
        <w:t>File preservation hold on engine maintenance records, borescope reports, and CFM correspondence.</w:t>
      </w:r>
    </w:p>
    <w:p>
      <w:pPr>
        <w:pStyle w:val="ListNumber"/>
      </w:pPr>
      <w:r>
        <w:t>Notify insurers and broker by EOD today.</w:t>
      </w:r>
    </w:p>
    <w:p>
      <w:pPr>
        <w:pStyle w:val="ListNumber"/>
      </w:pPr>
      <w:r>
        <w:t>Issue lessor notices by end of day tomorrow.</w:t>
      </w:r>
    </w:p>
    <w:p>
      <w:pPr>
        <w:pStyle w:val="ListNumber"/>
      </w:pPr>
      <w:r>
        <w:t>Identify ferry-fuel and contingency-MRO capacity at Beta and at the OEM facility.</w:t>
      </w:r>
    </w:p>
    <w:p>
      <w:pPr>
        <w:pStyle w:val="ListNumber"/>
      </w:pPr>
      <w:r>
        <w:t>Draft an FAA factual response to be ready upon completion of the first inspection batch.</w:t>
      </w:r>
    </w:p>
    <w:p>
      <w:pPr>
        <w:pStyle w:val="Heading2"/>
      </w:pPr>
      <w:r>
        <w:t>Open Items</w:t>
      </w:r>
    </w:p>
    <w:p>
      <w:pPr>
        <w:pStyle w:val="ListBullet"/>
      </w:pPr>
      <w:r>
        <w:t>EASA AD timing (expected within 48 h)</w:t>
      </w:r>
    </w:p>
    <w:p>
      <w:pPr>
        <w:pStyle w:val="ListBullet"/>
      </w:pPr>
      <w:r>
        <w:t>Lessor reimbursement claim package</w:t>
      </w:r>
    </w:p>
    <w:p>
      <w:pPr>
        <w:pStyle w:val="ListBullet"/>
      </w:pPr>
      <w:r>
        <w:t>Insurance broker confirmation of war-perils coverage</w:t>
      </w:r>
    </w:p>
    <w:p>
      <w:pPr>
        <w:pStyle w:val="ListBullet"/>
      </w:pPr>
      <w:r>
        <w:t>ETOPS dispatch impact assessment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