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В данной инструкции описывается логика переходов между экранами в веб-приложении при взаимодействии с кнопками в предоставленной верстке.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Главный экран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“Personal area” ведет на экран аутентификации.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“Search” ведет на экран с найденными рейсами.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аутентификации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“Log in” аутентифицирует пользователя и ведет его на экран личного кабинета.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“Sign up” ведет на экран регистрации.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регистрации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“Register now” регистрирует пользователя. Переход куда-либо на ваше усмотрение.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“Log in” ведет на экран аутентификации.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с найденными рейсами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“Back” позволяет вернуться назад (на главный экран).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“Go to booking” переходит к экрану оформления бронирования.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с оформлением бронирования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“Back” позволяет вернуться назад (на экран с найденными рейсами).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“Confirm” создает бронирование и позволяет перейти на экран управления бронированием.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управления бронированием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“Home” позволяет вернуться на главный экран.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“Select seats” должно вести на экран с выбором места.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выбора места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“Back” позволяет вернуться назад на экран управления бронированием.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Нажатие на кнопку “Confirm” применяет изменения и возвращает на экран управления бронированием.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личного кабинета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Нажатие на “Logout” сбрасывает сессию и отправляет на любой экран по вашему усмотрению.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