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使用到的技术：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小程序缓存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小程序缓存介绍：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每个微信小程序都可以有自己的本地缓存，可以通过 wx.setStorage（wx.setStorageSync）、wx.getStorage（wx.getStorageSync）、wx.clearStorage（wx.clearStorageSync）可以对本地缓存进行设置、获取和清理。同一个微信用户，同一个小程序 storage 上限为 10MB。localStorage 以用户维度隔离，同一台设备上，A 用户无法读取到 B 用户的数据。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(object)是一个异步接口，参数object包含key和data（需要存储的内容），他有3个回调函数：success（接口调用成功的回调函数）、fail（接口调用失败的回调函数）、complete（接口调用结束的回调函数，调用成功、失败都会执行）。我们可以通过3个回调函数进一步优化一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页面的onShow生命周期基本在每次打开页面都会触发，在onShow里调用更</w:t>
      </w:r>
      <w:r>
        <w:rPr>
          <w:rFonts w:hint="eastAsia"/>
          <w:lang w:val="en-US" w:eastAsia="zh-CN"/>
        </w:rPr>
        <w:t>合理</w:t>
      </w:r>
      <w:r>
        <w:rPr>
          <w:rFonts w:hint="default"/>
          <w:lang w:val="en-US" w:eastAsia="zh-CN"/>
        </w:rPr>
        <w:t>，也可以在onLoad里面调用，提升用户体验。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数据绑定页面与数据流通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991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页面文件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保存用户的账单信息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tabs>
                <w:tab w:val="left" w:pos="725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handle/index.js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删除账本信息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sublist.js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删除账单信息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删除操作与分类列表设置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编辑分类列表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缓存获取页面实现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991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页面文件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detail.js</w:t>
            </w:r>
          </w:p>
        </w:tc>
        <w:tc>
          <w:tcPr>
            <w:tcW w:w="1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获得用户的账单信息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tabs>
                <w:tab w:val="left" w:pos="725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handle/index.js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获得账本信息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sublist.js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获得账单信息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index.js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settings.js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wx.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statistics.js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wx.g</w:t>
            </w:r>
            <w:r>
              <w:rPr>
                <w:rFonts w:hint="default"/>
                <w:lang w:val="en-US" w:eastAsia="zh-CN"/>
              </w:rPr>
              <w:t>etStorageSync</w:t>
            </w:r>
          </w:p>
        </w:tc>
        <w:tc>
          <w:tcPr>
            <w:tcW w:w="16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获得账单信息用于数据统计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C71CA"/>
    <w:rsid w:val="335E7E52"/>
    <w:rsid w:val="43F9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2022-05-09T05:06:00Z</dcterms:created>
  <dc:creator>17715</dc:creator>
  <cp:lastModifiedBy>那个人不就是我</cp:lastModifiedBy>
  <dcterms:modified xsi:type="dcterms:W3CDTF">2022-05-23T14:27:39Z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