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B0" w:rsidRDefault="00431AB0" w:rsidP="00431AB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CAP. 7</w:t>
      </w:r>
      <w:proofErr w:type="gramStart"/>
      <w:r>
        <w:rPr>
          <w:rFonts w:ascii="Arial" w:hAnsi="Arial" w:cs="Arial"/>
          <w:b/>
          <w:color w:val="FF0000"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color w:val="FF0000"/>
          <w:sz w:val="28"/>
          <w:szCs w:val="28"/>
        </w:rPr>
        <w:t xml:space="preserve">- </w:t>
      </w:r>
      <w:r w:rsidRPr="00E728B1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Intervalo de Confiança</w:t>
      </w:r>
    </w:p>
    <w:p w:rsidR="00431AB0" w:rsidRDefault="00431AB0" w:rsidP="00431AB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09352B" w:rsidRPr="00687E6C" w:rsidRDefault="0009352B" w:rsidP="00687E6C">
      <w:pPr>
        <w:rPr>
          <w:b/>
        </w:rPr>
      </w:pPr>
      <w:r w:rsidRPr="00687E6C">
        <w:rPr>
          <w:b/>
        </w:rPr>
        <w:t xml:space="preserve">Intervalo de Confiança para a Média, com Variância </w:t>
      </w:r>
      <w:proofErr w:type="gramStart"/>
      <w:r w:rsidRPr="00687E6C">
        <w:rPr>
          <w:b/>
        </w:rPr>
        <w:t>Conhecida</w:t>
      </w:r>
      <w:proofErr w:type="gramEnd"/>
    </w:p>
    <w:p w:rsidR="00687E6C" w:rsidRPr="00687E6C" w:rsidRDefault="00687E6C" w:rsidP="00431AB0">
      <w:pPr>
        <w:jc w:val="center"/>
        <w:rPr>
          <w:b/>
        </w:rPr>
      </w:pPr>
    </w:p>
    <w:p w:rsidR="0009352B" w:rsidRPr="00687E6C" w:rsidRDefault="0009352B" w:rsidP="0009352B">
      <w:pPr>
        <w:jc w:val="both"/>
      </w:pPr>
      <w:r w:rsidRPr="00687E6C">
        <w:t xml:space="preserve">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138BA" w:rsidRPr="00687E6C">
        <w:t xml:space="preserve"> </w:t>
      </w:r>
      <w:r w:rsidRPr="00687E6C">
        <w:t>for a</w:t>
      </w:r>
      <w:r w:rsidR="00267AE4">
        <w:t xml:space="preserve"> média de uma amostra aleatória</w:t>
      </w:r>
      <w:r w:rsidRPr="00687E6C">
        <w:t>,</w:t>
      </w:r>
      <w:r w:rsidR="00267AE4">
        <w:t xml:space="preserve"> </w:t>
      </w:r>
      <w:r w:rsidRPr="00687E6C">
        <w:t>de tamanho n, de uma população com variância conhecida</w:t>
      </w:r>
      <w:r w:rsidR="00C138BA" w:rsidRPr="00687E6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687E6C">
        <w:t xml:space="preserve">, um intervalo com 100(1- </w:t>
      </w:r>
      <m:oMath>
        <m:r>
          <w:rPr>
            <w:rFonts w:ascii="Cambria Math" w:hAnsi="Cambria Math"/>
          </w:rPr>
          <m:t>α</m:t>
        </m:r>
      </m:oMath>
      <w:proofErr w:type="gramStart"/>
      <w:r w:rsidRPr="00687E6C">
        <w:t>)</w:t>
      </w:r>
      <w:proofErr w:type="gramEnd"/>
      <w:r w:rsidRPr="00687E6C">
        <w:t xml:space="preserve">% de </w:t>
      </w:r>
      <w:r w:rsidR="00C138BA" w:rsidRPr="00687E6C">
        <w:t xml:space="preserve">confiança para  </w:t>
      </w:r>
      <m:oMath>
        <m:r>
          <w:rPr>
            <w:rFonts w:ascii="Cambria Math" w:hAnsi="Cambria Math"/>
          </w:rPr>
          <m:t>μ</m:t>
        </m:r>
      </m:oMath>
      <w:r w:rsidR="00C138BA" w:rsidRPr="00687E6C">
        <w:t xml:space="preserve">     </w:t>
      </w:r>
      <w:r w:rsidRPr="00687E6C">
        <w:t>é dado por</w:t>
      </w:r>
    </w:p>
    <w:p w:rsidR="0009352B" w:rsidRPr="00687E6C" w:rsidRDefault="0009352B" w:rsidP="00431AB0">
      <w:pPr>
        <w:jc w:val="center"/>
      </w:pPr>
    </w:p>
    <w:p w:rsidR="0009352B" w:rsidRPr="00687E6C" w:rsidRDefault="002F0C31" w:rsidP="00431AB0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/>
            </w:rPr>
            <m:t>≤</m:t>
          </m:r>
          <m:r>
            <w:rPr>
              <w:rFonts w:ascii="Cambria Math" w:hAnsi="Cambria Math"/>
            </w:rPr>
            <m:t>μ</m:t>
          </m:r>
          <m:r>
            <w:rPr>
              <w:rFonts w:ascii="Cambria Math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C138BA" w:rsidRPr="00687E6C" w:rsidRDefault="00C138BA" w:rsidP="00431AB0">
      <w:pPr>
        <w:jc w:val="center"/>
      </w:pPr>
    </w:p>
    <w:p w:rsidR="00C138BA" w:rsidRPr="00687E6C" w:rsidRDefault="00C138BA" w:rsidP="00C138BA">
      <w:pPr>
        <w:jc w:val="both"/>
      </w:pPr>
      <w:r w:rsidRPr="00687E6C"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</m:oMath>
      <w:proofErr w:type="gramStart"/>
      <w:r w:rsidRPr="00687E6C">
        <w:t xml:space="preserve">  </w:t>
      </w:r>
      <w:proofErr w:type="gramEnd"/>
      <w:r w:rsidRPr="00687E6C">
        <w:t xml:space="preserve">o ponto superior com </w:t>
      </w:r>
      <w:r w:rsidRPr="00687E6C">
        <w:rPr>
          <w:sz w:val="22"/>
          <w:szCs w:val="22"/>
        </w:rPr>
        <w:t>100</w:t>
      </w:r>
      <m:oMath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 w:rsidRPr="00687E6C">
        <w:rPr>
          <w:sz w:val="22"/>
          <w:szCs w:val="22"/>
        </w:rPr>
        <w:t>/</w:t>
      </w:r>
      <w:r w:rsidRPr="00687E6C">
        <w:rPr>
          <w:sz w:val="20"/>
          <w:szCs w:val="20"/>
        </w:rPr>
        <w:t>2</w:t>
      </w:r>
      <w:r w:rsidRPr="00687E6C">
        <w:rPr>
          <w:sz w:val="22"/>
          <w:szCs w:val="22"/>
        </w:rPr>
        <w:t>%</w:t>
      </w:r>
      <w:r w:rsidRPr="00687E6C">
        <w:t xml:space="preserve"> da distribuição normal padrão.</w:t>
      </w:r>
    </w:p>
    <w:p w:rsidR="00C138BA" w:rsidRPr="00687E6C" w:rsidRDefault="00C138BA" w:rsidP="00C138BA">
      <w:pPr>
        <w:jc w:val="both"/>
      </w:pPr>
    </w:p>
    <w:p w:rsidR="00C138BA" w:rsidRPr="00687E6C" w:rsidRDefault="00C138BA" w:rsidP="00C138BA">
      <w:pPr>
        <w:jc w:val="both"/>
      </w:pPr>
    </w:p>
    <w:p w:rsidR="00C138BA" w:rsidRPr="00687E6C" w:rsidRDefault="00C138BA" w:rsidP="00687E6C">
      <w:pPr>
        <w:rPr>
          <w:b/>
        </w:rPr>
      </w:pPr>
      <w:r w:rsidRPr="00687E6C">
        <w:rPr>
          <w:b/>
        </w:rPr>
        <w:t xml:space="preserve">Intervalo de Confiança para a Média, com Variância </w:t>
      </w:r>
      <w:proofErr w:type="gramStart"/>
      <w:r w:rsidRPr="00687E6C">
        <w:rPr>
          <w:b/>
        </w:rPr>
        <w:t>Desconhecida</w:t>
      </w:r>
      <w:proofErr w:type="gramEnd"/>
    </w:p>
    <w:p w:rsidR="00687E6C" w:rsidRPr="00687E6C" w:rsidRDefault="00687E6C" w:rsidP="00C138BA">
      <w:pPr>
        <w:jc w:val="center"/>
        <w:rPr>
          <w:b/>
        </w:rPr>
      </w:pPr>
    </w:p>
    <w:p w:rsidR="00C138BA" w:rsidRPr="00687E6C" w:rsidRDefault="00C138BA" w:rsidP="00C138BA">
      <w:pPr>
        <w:jc w:val="both"/>
      </w:pPr>
      <w:r w:rsidRPr="00687E6C">
        <w:t xml:space="preserve">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687E6C">
        <w:t xml:space="preserve"> e </w:t>
      </w:r>
      <w:r w:rsidRPr="00687E6C">
        <w:rPr>
          <w:i/>
        </w:rPr>
        <w:t>s</w:t>
      </w:r>
      <w:r w:rsidRPr="00687E6C">
        <w:t xml:space="preserve"> for a média e o desvio padrão de uma amostra aleatória proveniente de uma população normal com variância </w:t>
      </w:r>
      <w:r w:rsidR="00687E6C" w:rsidRPr="00687E6C">
        <w:t>des</w:t>
      </w:r>
      <w:r w:rsidRPr="00687E6C">
        <w:t xml:space="preserve">conhecida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687E6C">
        <w:t xml:space="preserve">, um intervalo com 100(1- </w:t>
      </w:r>
      <m:oMath>
        <m:r>
          <w:rPr>
            <w:rFonts w:ascii="Cambria Math" w:hAnsi="Cambria Math"/>
          </w:rPr>
          <m:t>α</m:t>
        </m:r>
      </m:oMath>
      <w:proofErr w:type="gramStart"/>
      <w:r w:rsidRPr="00687E6C">
        <w:t>)</w:t>
      </w:r>
      <w:proofErr w:type="gramEnd"/>
      <w:r w:rsidRPr="00687E6C">
        <w:t xml:space="preserve">% de </w:t>
      </w:r>
      <w:proofErr w:type="gramStart"/>
      <w:r w:rsidRPr="00687E6C">
        <w:t>confiança</w:t>
      </w:r>
      <w:proofErr w:type="gramEnd"/>
      <w:r w:rsidRPr="00687E6C">
        <w:t xml:space="preserve"> para</w:t>
      </w:r>
      <w:r w:rsidR="00687E6C" w:rsidRPr="00687E6C">
        <w:t xml:space="preserve"> a média</w:t>
      </w:r>
      <w:r w:rsidRPr="00687E6C">
        <w:t xml:space="preserve">  </w:t>
      </w:r>
      <m:oMath>
        <m:r>
          <w:rPr>
            <w:rFonts w:ascii="Cambria Math" w:hAnsi="Cambria Math"/>
          </w:rPr>
          <m:t>μ</m:t>
        </m:r>
      </m:oMath>
      <w:r w:rsidR="00687E6C" w:rsidRPr="00687E6C">
        <w:t xml:space="preserve">  </w:t>
      </w:r>
      <w:r w:rsidRPr="00687E6C">
        <w:t>é dado por</w:t>
      </w:r>
    </w:p>
    <w:p w:rsidR="00C138BA" w:rsidRPr="00687E6C" w:rsidRDefault="00C138BA" w:rsidP="00C138BA">
      <w:pPr>
        <w:jc w:val="center"/>
      </w:pPr>
    </w:p>
    <w:p w:rsidR="00C138BA" w:rsidRPr="00687E6C" w:rsidRDefault="002F0C31" w:rsidP="00C138BA">
      <w:pPr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/>
            </w:rPr>
            <m:t>≤</m:t>
          </m:r>
          <m:r>
            <w:rPr>
              <w:rFonts w:ascii="Cambria Math" w:hAnsi="Cambria Math"/>
            </w:rPr>
            <m:t>μ</m:t>
          </m:r>
          <m:r>
            <w:rPr>
              <w:rFonts w:ascii="Cambria Math"/>
            </w:rPr>
            <m:t>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C138BA" w:rsidRPr="00687E6C" w:rsidRDefault="00C138BA" w:rsidP="00C138BA">
      <w:pPr>
        <w:jc w:val="center"/>
      </w:pPr>
    </w:p>
    <w:p w:rsidR="00C138BA" w:rsidRDefault="00C138BA" w:rsidP="00C138BA">
      <w:pPr>
        <w:jc w:val="both"/>
      </w:pPr>
      <w:r w:rsidRPr="00687E6C"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  <m:r>
              <w:rPr>
                <w:rFonts w:ascii="Cambria Math"/>
              </w:rPr>
              <m:t xml:space="preserve">,  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b>
        </m:sSub>
      </m:oMath>
      <w:r w:rsidR="00687E6C" w:rsidRPr="00687E6C">
        <w:t xml:space="preserve"> </w:t>
      </w:r>
      <w:r w:rsidRPr="00687E6C">
        <w:t xml:space="preserve">o ponto superior com </w:t>
      </w:r>
      <w:r w:rsidRPr="00687E6C">
        <w:rPr>
          <w:sz w:val="22"/>
          <w:szCs w:val="22"/>
        </w:rPr>
        <w:t>100</w:t>
      </w:r>
      <m:oMath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 w:rsidRPr="00687E6C">
        <w:rPr>
          <w:sz w:val="22"/>
          <w:szCs w:val="22"/>
        </w:rPr>
        <w:t>/</w:t>
      </w:r>
      <w:r w:rsidRPr="00687E6C">
        <w:rPr>
          <w:sz w:val="20"/>
          <w:szCs w:val="20"/>
        </w:rPr>
        <w:t>2</w:t>
      </w:r>
      <w:r w:rsidRPr="00687E6C">
        <w:rPr>
          <w:sz w:val="22"/>
          <w:szCs w:val="22"/>
        </w:rPr>
        <w:t>%</w:t>
      </w:r>
      <w:r w:rsidRPr="00687E6C">
        <w:t xml:space="preserve"> da dist</w:t>
      </w:r>
      <w:r w:rsidR="00687E6C" w:rsidRPr="00687E6C">
        <w:t>ribuição t, com n-1 graus de liberdade</w:t>
      </w:r>
      <w:r w:rsidRPr="00687E6C">
        <w:t>.</w:t>
      </w:r>
    </w:p>
    <w:p w:rsidR="00687E6C" w:rsidRDefault="00687E6C" w:rsidP="00C138BA">
      <w:pPr>
        <w:jc w:val="both"/>
      </w:pPr>
    </w:p>
    <w:p w:rsidR="00687E6C" w:rsidRDefault="00687E6C" w:rsidP="00C138BA">
      <w:pPr>
        <w:jc w:val="both"/>
      </w:pPr>
    </w:p>
    <w:p w:rsidR="00687E6C" w:rsidRPr="00687E6C" w:rsidRDefault="00687E6C" w:rsidP="00687E6C">
      <w:pPr>
        <w:rPr>
          <w:b/>
        </w:rPr>
      </w:pPr>
      <w:r w:rsidRPr="00687E6C">
        <w:rPr>
          <w:b/>
        </w:rPr>
        <w:t xml:space="preserve">Intervalo de Confiança para a Variância </w:t>
      </w:r>
      <w:r w:rsidR="00C03B4A">
        <w:rPr>
          <w:b/>
        </w:rPr>
        <w:t>de uma Distribuição Normal</w:t>
      </w:r>
    </w:p>
    <w:p w:rsidR="00687E6C" w:rsidRPr="00687E6C" w:rsidRDefault="00687E6C" w:rsidP="00687E6C">
      <w:pPr>
        <w:jc w:val="center"/>
        <w:rPr>
          <w:b/>
        </w:rPr>
      </w:pPr>
    </w:p>
    <w:p w:rsidR="00687E6C" w:rsidRPr="00687E6C" w:rsidRDefault="00687E6C" w:rsidP="00687E6C">
      <w:pPr>
        <w:jc w:val="both"/>
      </w:pPr>
      <w:r w:rsidRPr="00687E6C">
        <w:t xml:space="preserve">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for a variância </w:t>
      </w:r>
      <w:r w:rsidRPr="00687E6C">
        <w:t xml:space="preserve">de uma amostra aleatória proveniente de uma população normal com variância desconhecida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 xml:space="preserve"> e n observações, </w:t>
      </w:r>
      <w:r w:rsidRPr="00687E6C">
        <w:t xml:space="preserve">um intervalo com 100(1- </w:t>
      </w:r>
      <m:oMath>
        <m:r>
          <w:rPr>
            <w:rFonts w:ascii="Cambria Math" w:hAnsi="Cambria Math"/>
          </w:rPr>
          <m:t>α</m:t>
        </m:r>
      </m:oMath>
      <w:proofErr w:type="gramStart"/>
      <w:r w:rsidRPr="00687E6C">
        <w:t>)</w:t>
      </w:r>
      <w:proofErr w:type="gramEnd"/>
      <w:r w:rsidRPr="00687E6C">
        <w:t xml:space="preserve">% de confiança para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87E6C">
        <w:t xml:space="preserve">  </w:t>
      </w:r>
      <w:r>
        <w:t>será</w:t>
      </w:r>
    </w:p>
    <w:p w:rsidR="00687E6C" w:rsidRPr="00687E6C" w:rsidRDefault="00687E6C" w:rsidP="00687E6C">
      <w:pPr>
        <w:jc w:val="center"/>
      </w:pPr>
    </w:p>
    <w:p w:rsidR="00687E6C" w:rsidRPr="00687E6C" w:rsidRDefault="002F0C31" w:rsidP="00687E6C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/>
                      <w:sz w:val="22"/>
                      <w:szCs w:val="22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/>
                      <w:sz w:val="22"/>
                      <w:szCs w:val="22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</m:oMath>
      </m:oMathPara>
    </w:p>
    <w:p w:rsidR="00687E6C" w:rsidRPr="00687E6C" w:rsidRDefault="00687E6C" w:rsidP="00687E6C">
      <w:pPr>
        <w:jc w:val="center"/>
      </w:pPr>
    </w:p>
    <w:p w:rsidR="00687E6C" w:rsidRPr="00687E6C" w:rsidRDefault="00687E6C" w:rsidP="00687E6C">
      <w:pPr>
        <w:jc w:val="both"/>
      </w:pPr>
      <w:r w:rsidRPr="00687E6C">
        <w:t xml:space="preserve">Sendo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1-α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/>
                <w:sz w:val="22"/>
                <w:szCs w:val="22"/>
              </w:rPr>
              <m:t xml:space="preserve">,  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</m:oMath>
      <w:r w:rsidRPr="00687E6C">
        <w:t xml:space="preserve"> o ponto superior </w:t>
      </w:r>
      <w:r w:rsidR="00614884">
        <w:t xml:space="preserve">e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/>
                <w:sz w:val="22"/>
                <w:szCs w:val="22"/>
              </w:rPr>
              <m:t xml:space="preserve">,  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</m:oMath>
      <w:r w:rsidR="00614884" w:rsidRPr="00687E6C">
        <w:t xml:space="preserve"> </w:t>
      </w:r>
      <w:r w:rsidR="00614884">
        <w:t>o ponto inf</w:t>
      </w:r>
      <w:r w:rsidR="00614884" w:rsidRPr="00687E6C">
        <w:t xml:space="preserve">erior </w:t>
      </w:r>
      <w:r w:rsidRPr="00687E6C">
        <w:t xml:space="preserve">com </w:t>
      </w:r>
      <w:r w:rsidRPr="00687E6C">
        <w:rPr>
          <w:sz w:val="22"/>
          <w:szCs w:val="22"/>
        </w:rPr>
        <w:t>100</w:t>
      </w:r>
      <m:oMath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 w:rsidRPr="00687E6C">
        <w:rPr>
          <w:sz w:val="22"/>
          <w:szCs w:val="22"/>
        </w:rPr>
        <w:t>/</w:t>
      </w:r>
      <w:r w:rsidRPr="00687E6C">
        <w:rPr>
          <w:sz w:val="20"/>
          <w:szCs w:val="20"/>
        </w:rPr>
        <w:t>2</w:t>
      </w:r>
      <w:r w:rsidRPr="00687E6C">
        <w:rPr>
          <w:sz w:val="22"/>
          <w:szCs w:val="22"/>
        </w:rPr>
        <w:t>%</w:t>
      </w:r>
      <w:r w:rsidRPr="00687E6C">
        <w:t xml:space="preserve"> da dist</w:t>
      </w:r>
      <w:r w:rsidR="00614884">
        <w:t xml:space="preserve">ribuição </w:t>
      </w:r>
      <w:proofErr w:type="spellStart"/>
      <w:r w:rsidR="00614884">
        <w:t>qui-quadrado</w:t>
      </w:r>
      <w:proofErr w:type="spellEnd"/>
      <w:r w:rsidRPr="00687E6C">
        <w:t>, com n-1 graus de liberdade.</w:t>
      </w:r>
    </w:p>
    <w:p w:rsidR="00687E6C" w:rsidRPr="00687E6C" w:rsidRDefault="00687E6C" w:rsidP="00C138BA">
      <w:pPr>
        <w:jc w:val="both"/>
      </w:pPr>
    </w:p>
    <w:p w:rsidR="00C138BA" w:rsidRDefault="00C138BA" w:rsidP="00C138BA">
      <w:pPr>
        <w:jc w:val="both"/>
        <w:rPr>
          <w:rFonts w:ascii="Arial" w:hAnsi="Arial" w:cs="Arial"/>
        </w:rPr>
      </w:pPr>
    </w:p>
    <w:p w:rsidR="00C03B4A" w:rsidRPr="00687E6C" w:rsidRDefault="00C03B4A" w:rsidP="00C03B4A">
      <w:pPr>
        <w:rPr>
          <w:b/>
        </w:rPr>
      </w:pPr>
      <w:r w:rsidRPr="00687E6C">
        <w:rPr>
          <w:b/>
        </w:rPr>
        <w:t xml:space="preserve">Intervalo de Confiança para a Variância </w:t>
      </w:r>
      <w:r>
        <w:rPr>
          <w:b/>
        </w:rPr>
        <w:t>para uma Proporção</w:t>
      </w:r>
    </w:p>
    <w:p w:rsidR="00C03B4A" w:rsidRPr="00687E6C" w:rsidRDefault="00C03B4A" w:rsidP="00C03B4A">
      <w:pPr>
        <w:jc w:val="center"/>
        <w:rPr>
          <w:b/>
        </w:rPr>
      </w:pPr>
    </w:p>
    <w:p w:rsidR="00C03B4A" w:rsidRDefault="00C03B4A" w:rsidP="00C03B4A">
      <w:pPr>
        <w:jc w:val="both"/>
      </w:pPr>
      <w:r w:rsidRPr="00687E6C">
        <w:t xml:space="preserve">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for </w:t>
      </w:r>
      <w:r w:rsidR="00D45993">
        <w:t>uma proporção</w:t>
      </w:r>
      <w:r w:rsidR="006004FF">
        <w:t xml:space="preserve"> de observações em uma amostra</w:t>
      </w:r>
      <w:r w:rsidRPr="00687E6C">
        <w:t xml:space="preserve"> aleatória </w:t>
      </w:r>
      <w:r w:rsidR="006004FF">
        <w:t xml:space="preserve">de tamanho n que pertença a uma classe de interesse, então um </w:t>
      </w:r>
      <w:r w:rsidRPr="00687E6C">
        <w:t>intervalo</w:t>
      </w:r>
      <w:r w:rsidR="006004FF">
        <w:t xml:space="preserve"> aproximado de </w:t>
      </w:r>
      <w:r w:rsidRPr="00687E6C">
        <w:t xml:space="preserve">100(1- </w:t>
      </w:r>
      <m:oMath>
        <m:r>
          <w:rPr>
            <w:rFonts w:ascii="Cambria Math" w:hAnsi="Cambria Math"/>
          </w:rPr>
          <m:t>α</m:t>
        </m:r>
      </m:oMath>
      <w:proofErr w:type="gramStart"/>
      <w:r w:rsidRPr="00687E6C">
        <w:t>)</w:t>
      </w:r>
      <w:proofErr w:type="gramEnd"/>
      <w:r w:rsidRPr="00687E6C">
        <w:t xml:space="preserve">% de confiança para </w:t>
      </w:r>
      <w:r w:rsidR="006004FF">
        <w:t xml:space="preserve">a proporção </w:t>
      </w:r>
      <w:r w:rsidR="006004FF" w:rsidRPr="006004FF">
        <w:rPr>
          <w:i/>
        </w:rPr>
        <w:t>p</w:t>
      </w:r>
      <w:r w:rsidR="006004FF">
        <w:t xml:space="preserve"> da população que pertença a essa classe será</w:t>
      </w:r>
    </w:p>
    <w:p w:rsidR="006004FF" w:rsidRPr="00687E6C" w:rsidRDefault="006004FF" w:rsidP="00C03B4A">
      <w:pPr>
        <w:jc w:val="both"/>
      </w:pPr>
    </w:p>
    <w:p w:rsidR="00C03B4A" w:rsidRPr="00687E6C" w:rsidRDefault="00C03B4A" w:rsidP="00C03B4A">
      <w:pPr>
        <w:jc w:val="center"/>
      </w:pPr>
    </w:p>
    <w:p w:rsidR="00C03B4A" w:rsidRPr="00687E6C" w:rsidRDefault="002F0C31" w:rsidP="00C03B4A">
      <w:pPr>
        <w:jc w:val="center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 xml:space="preserve"> p</m:t>
          </m:r>
          <m:r>
            <w:rPr>
              <w:rFonts w:ascii="Cambria Math"/>
              <w:sz w:val="22"/>
              <w:szCs w:val="22"/>
            </w:rPr>
            <m:t>≤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b>
          </m:sSub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:rsidR="00C03B4A" w:rsidRPr="00687E6C" w:rsidRDefault="00C03B4A" w:rsidP="00C03B4A">
      <w:pPr>
        <w:jc w:val="center"/>
      </w:pPr>
    </w:p>
    <w:p w:rsidR="00C03B4A" w:rsidRPr="00687E6C" w:rsidRDefault="00C03B4A" w:rsidP="00C03B4A">
      <w:pPr>
        <w:jc w:val="both"/>
      </w:pPr>
      <w:r w:rsidRPr="00687E6C"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</m:oMath>
      <w:r w:rsidRPr="00687E6C">
        <w:t xml:space="preserve"> o ponto superior com </w:t>
      </w:r>
      <w:r w:rsidRPr="00687E6C">
        <w:rPr>
          <w:sz w:val="22"/>
          <w:szCs w:val="22"/>
        </w:rPr>
        <w:t>100</w:t>
      </w:r>
      <m:oMath>
        <m:r>
          <w:rPr>
            <w:rFonts w:asci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α</m:t>
        </m:r>
      </m:oMath>
      <w:r w:rsidRPr="00687E6C">
        <w:rPr>
          <w:sz w:val="22"/>
          <w:szCs w:val="22"/>
        </w:rPr>
        <w:t>/</w:t>
      </w:r>
      <w:r w:rsidRPr="00687E6C">
        <w:rPr>
          <w:sz w:val="20"/>
          <w:szCs w:val="20"/>
        </w:rPr>
        <w:t>2</w:t>
      </w:r>
      <w:r w:rsidRPr="00687E6C">
        <w:rPr>
          <w:sz w:val="22"/>
          <w:szCs w:val="22"/>
        </w:rPr>
        <w:t>%</w:t>
      </w:r>
      <w:r w:rsidRPr="00687E6C">
        <w:t xml:space="preserve"> da dist</w:t>
      </w:r>
      <w:r>
        <w:t xml:space="preserve">ribuição </w:t>
      </w:r>
      <w:r w:rsidR="006004FF">
        <w:t>normal padrão</w:t>
      </w:r>
      <w:r w:rsidRPr="00687E6C">
        <w:t>.</w:t>
      </w:r>
    </w:p>
    <w:p w:rsidR="00C03B4A" w:rsidRDefault="00C03B4A" w:rsidP="00C138BA">
      <w:pPr>
        <w:jc w:val="both"/>
        <w:rPr>
          <w:rFonts w:ascii="Arial" w:hAnsi="Arial" w:cs="Arial"/>
        </w:rPr>
      </w:pPr>
    </w:p>
    <w:p w:rsidR="00C138BA" w:rsidRDefault="00C138BA" w:rsidP="00431AB0">
      <w:pPr>
        <w:jc w:val="center"/>
        <w:rPr>
          <w:rFonts w:ascii="Arial" w:hAnsi="Arial" w:cs="Arial"/>
        </w:rPr>
      </w:pPr>
    </w:p>
    <w:p w:rsidR="00C138BA" w:rsidRDefault="00C138BA" w:rsidP="00431AB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7A3FD4" w:rsidRDefault="00431AB0" w:rsidP="00431AB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EXERCÍCIOS</w:t>
      </w:r>
    </w:p>
    <w:p w:rsidR="00431AB0" w:rsidRDefault="00431AB0" w:rsidP="00431AB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431AB0" w:rsidRPr="00487401" w:rsidRDefault="00431AB0" w:rsidP="00431AB0">
      <w:pPr>
        <w:jc w:val="both"/>
        <w:rPr>
          <w:b/>
        </w:rPr>
      </w:pPr>
      <w:r>
        <w:rPr>
          <w:b/>
        </w:rPr>
        <w:t>1 – Uma reportagem relatou que o tempo médio que as famí</w:t>
      </w:r>
      <w:r w:rsidRPr="00487401">
        <w:rPr>
          <w:b/>
        </w:rPr>
        <w:t>lias passam</w:t>
      </w:r>
      <w:r>
        <w:rPr>
          <w:b/>
        </w:rPr>
        <w:t xml:space="preserve"> assistindo</w:t>
      </w:r>
      <w:r w:rsidR="00267AE4">
        <w:rPr>
          <w:b/>
        </w:rPr>
        <w:t xml:space="preserve"> a televisão, no período de 8h </w:t>
      </w:r>
      <w:proofErr w:type="gramStart"/>
      <w:r w:rsidR="00267AE4">
        <w:rPr>
          <w:b/>
        </w:rPr>
        <w:t>às</w:t>
      </w:r>
      <w:proofErr w:type="gramEnd"/>
      <w:r>
        <w:rPr>
          <w:b/>
        </w:rPr>
        <w:t xml:space="preserve"> 11h da noite, é</w:t>
      </w:r>
      <w:r w:rsidRPr="00487401">
        <w:rPr>
          <w:b/>
        </w:rPr>
        <w:t xml:space="preserve"> de 8,5 horas por semana.</w:t>
      </w:r>
    </w:p>
    <w:p w:rsidR="00431AB0" w:rsidRDefault="00431AB0" w:rsidP="00431AB0">
      <w:pPr>
        <w:jc w:val="both"/>
        <w:rPr>
          <w:b/>
        </w:rPr>
      </w:pPr>
      <w:r w:rsidRPr="00487401">
        <w:rPr>
          <w:b/>
        </w:rPr>
        <w:t>Dado u</w:t>
      </w:r>
      <w:r>
        <w:rPr>
          <w:b/>
        </w:rPr>
        <w:t>m tamanho de amostra de 300 famílias e um desvio-padrã</w:t>
      </w:r>
      <w:r w:rsidRPr="00487401">
        <w:rPr>
          <w:b/>
        </w:rPr>
        <w:t xml:space="preserve">o σ </w:t>
      </w:r>
      <w:r>
        <w:rPr>
          <w:b/>
        </w:rPr>
        <w:t>da populaçã</w:t>
      </w:r>
      <w:r w:rsidRPr="00487401">
        <w:rPr>
          <w:b/>
        </w:rPr>
        <w:t>o igual</w:t>
      </w:r>
      <w:r>
        <w:rPr>
          <w:b/>
        </w:rPr>
        <w:t xml:space="preserve"> </w:t>
      </w:r>
      <w:proofErr w:type="gramStart"/>
      <w:r w:rsidRPr="00487401">
        <w:rPr>
          <w:b/>
        </w:rPr>
        <w:t>a</w:t>
      </w:r>
      <w:proofErr w:type="gramEnd"/>
      <w:r w:rsidRPr="00487401">
        <w:rPr>
          <w:b/>
        </w:rPr>
        <w:t xml:space="preserve"> 3,5 horas, qual e a est</w:t>
      </w:r>
      <w:r>
        <w:rPr>
          <w:b/>
        </w:rPr>
        <w:t>imação por intervalo de confiança de 95% da mé</w:t>
      </w:r>
      <w:r w:rsidRPr="00487401">
        <w:rPr>
          <w:b/>
        </w:rPr>
        <w:t>dia de tempo que</w:t>
      </w:r>
      <w:r>
        <w:rPr>
          <w:b/>
        </w:rPr>
        <w:t xml:space="preserve"> </w:t>
      </w:r>
      <w:r w:rsidRPr="00487401">
        <w:rPr>
          <w:b/>
        </w:rPr>
        <w:t>as pessoas ass</w:t>
      </w:r>
      <w:r>
        <w:rPr>
          <w:b/>
        </w:rPr>
        <w:t>istem a televisão durante o perí</w:t>
      </w:r>
      <w:r w:rsidRPr="00487401">
        <w:rPr>
          <w:b/>
        </w:rPr>
        <w:t>odo das 8h as 11h da noite?</w:t>
      </w:r>
    </w:p>
    <w:p w:rsidR="00431AB0" w:rsidRDefault="00431AB0" w:rsidP="00431AB0">
      <w:pPr>
        <w:jc w:val="both"/>
        <w:rPr>
          <w:b/>
        </w:rPr>
      </w:pPr>
    </w:p>
    <w:p w:rsidR="00431AB0" w:rsidRPr="00AF292A" w:rsidRDefault="00431AB0" w:rsidP="00431AB0">
      <w:pPr>
        <w:tabs>
          <w:tab w:val="left" w:pos="1575"/>
        </w:tabs>
        <w:jc w:val="both"/>
        <w:rPr>
          <w:rFonts w:eastAsiaTheme="minorEastAsia"/>
          <w:color w:val="FF0000"/>
        </w:rPr>
      </w:pPr>
      <w:r w:rsidRPr="00AF292A">
        <w:rPr>
          <w:color w:val="FF0000"/>
        </w:rPr>
        <w:t>Resolução:</w:t>
      </w:r>
      <w:r>
        <w:rPr>
          <w:color w:val="FF0000"/>
        </w:rPr>
        <w:tab/>
      </w:r>
    </w:p>
    <w:p w:rsidR="00431AB0" w:rsidRDefault="00431AB0" w:rsidP="00431AB0">
      <w:pPr>
        <w:rPr>
          <w:rFonts w:eastAsiaTheme="minorEastAsia"/>
        </w:rPr>
      </w:pPr>
      <w:r w:rsidRPr="00AF292A">
        <w:rPr>
          <w:b/>
        </w:rPr>
        <w:t>Dados:</w:t>
      </w:r>
      <w:r>
        <w:t xml:space="preserve"> </w:t>
      </w:r>
      <w:r w:rsidRPr="00AF292A">
        <w:t>n=</w:t>
      </w:r>
      <w:r>
        <w:t>300</w:t>
      </w:r>
      <w:r w:rsidRPr="00AF292A">
        <w:t xml:space="preserve">, </w:t>
      </w:r>
      <m:oMath>
        <m:r>
          <w:rPr>
            <w:rFonts w:ascii="Cambria Math" w:hAnsi="Cambria Math"/>
          </w:rPr>
          <m:t>1-α</m:t>
        </m:r>
        <m:r>
          <w:rPr>
            <w:rFonts w:ascii="Cambria Math"/>
          </w:rPr>
          <m:t>=0,95</m:t>
        </m:r>
      </m:oMath>
      <w:r w:rsidRPr="00AF292A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/>
          </w:rPr>
          <m:t xml:space="preserve">=8,5, </m:t>
        </m:r>
      </m:oMath>
      <w:r w:rsidRPr="00AF292A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/>
          </w:rPr>
          <m:t>=3,5</m:t>
        </m:r>
      </m:oMath>
    </w:p>
    <w:p w:rsidR="00431AB0" w:rsidRPr="00AF292A" w:rsidRDefault="00431AB0" w:rsidP="00431AB0">
      <w:pPr>
        <w:rPr>
          <w:rFonts w:eastAsiaTheme="minorEastAsia"/>
        </w:rPr>
      </w:pPr>
      <w:r>
        <w:rPr>
          <w:rFonts w:eastAsiaTheme="minorEastAsia"/>
        </w:rPr>
        <w:t>Sabemos que o intervalo de confiança é obtido da seguinte forma:</w:t>
      </w:r>
    </w:p>
    <w:p w:rsidR="00431AB0" w:rsidRDefault="00431AB0" w:rsidP="00431AB0">
      <w:pPr>
        <w:jc w:val="both"/>
        <w:rPr>
          <w:b/>
        </w:rPr>
      </w:pPr>
    </w:p>
    <w:p w:rsidR="00431AB0" w:rsidRPr="00BD62DF" w:rsidRDefault="002F0C31" w:rsidP="00431AB0">
      <w:pPr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≤μ≤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431AB0" w:rsidRDefault="00431AB0" w:rsidP="00431AB0">
      <w:pPr>
        <w:jc w:val="both"/>
      </w:pPr>
      <w:proofErr w:type="gramStart"/>
      <w:r>
        <w:t>em</w:t>
      </w:r>
      <w:proofErr w:type="gramEnd"/>
      <w:r>
        <w:t xml:space="preserve"> que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t xml:space="preserve">  é obtido através da tabela de distribuição normal padrão.</w:t>
      </w:r>
    </w:p>
    <w:p w:rsidR="00431AB0" w:rsidRDefault="00431AB0" w:rsidP="00431AB0">
      <w:pPr>
        <w:jc w:val="both"/>
      </w:pPr>
      <w:r>
        <w:t>Logo,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0,025</m:t>
            </m:r>
          </m:sub>
        </m:sSub>
        <m:r>
          <w:rPr>
            <w:rFonts w:ascii="Cambria Math" w:hAnsi="Cambria Math"/>
          </w:rPr>
          <m:t>=1,96</m:t>
        </m:r>
      </m:oMath>
      <w:r>
        <w:t xml:space="preserve"> </w:t>
      </w:r>
    </w:p>
    <w:p w:rsidR="00431AB0" w:rsidRDefault="00431AB0" w:rsidP="00431AB0">
      <w:pPr>
        <w:jc w:val="both"/>
      </w:pPr>
      <w:r>
        <w:t>Assim, temos que:</w:t>
      </w:r>
    </w:p>
    <w:p w:rsidR="00431AB0" w:rsidRDefault="00431AB0" w:rsidP="00431AB0">
      <w:pPr>
        <w:jc w:val="both"/>
      </w:pPr>
      <m:oMathPara>
        <m:oMath>
          <m:r>
            <w:rPr>
              <w:rFonts w:ascii="Cambria Math" w:hAnsi="Cambria Math"/>
            </w:rPr>
            <m:t>8,5-1,96×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</m:rad>
            </m:den>
          </m:f>
          <m:r>
            <w:rPr>
              <w:rFonts w:ascii="Cambria Math" w:hAnsi="Cambria Math"/>
            </w:rPr>
            <m:t>≤μ≤8,5+1,96×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3,5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300</m:t>
                  </m:r>
                </m:e>
              </m:rad>
            </m:den>
          </m:f>
        </m:oMath>
      </m:oMathPara>
    </w:p>
    <w:p w:rsidR="00431AB0" w:rsidRDefault="00431AB0" w:rsidP="00431AB0">
      <w:pPr>
        <w:jc w:val="both"/>
      </w:pPr>
    </w:p>
    <w:p w:rsidR="00431AB0" w:rsidRDefault="00431AB0" w:rsidP="00431AB0">
      <w:pPr>
        <w:jc w:val="both"/>
      </w:pPr>
      <m:oMathPara>
        <m:oMath>
          <m:r>
            <w:rPr>
              <w:rFonts w:ascii="Cambria Math" w:hAnsi="Cambria Math"/>
            </w:rPr>
            <m:t>8,1≤μ≤8,9</m:t>
          </m:r>
        </m:oMath>
      </m:oMathPara>
    </w:p>
    <w:p w:rsidR="00431AB0" w:rsidRDefault="00431AB0" w:rsidP="00431AB0">
      <w:pPr>
        <w:jc w:val="both"/>
        <w:rPr>
          <w:b/>
        </w:rPr>
      </w:pPr>
      <w:r>
        <w:t xml:space="preserve">Então, as </w:t>
      </w:r>
      <w:r w:rsidRPr="00A270B4">
        <w:t>pessoas gastam entre 8,1</w:t>
      </w:r>
      <w:r>
        <w:t xml:space="preserve"> </w:t>
      </w:r>
      <w:r w:rsidRPr="00A270B4">
        <w:t xml:space="preserve">horas e 8,9 horas da sua semana em frente </w:t>
      </w:r>
      <w:proofErr w:type="gramStart"/>
      <w:r w:rsidRPr="00A270B4">
        <w:t>a</w:t>
      </w:r>
      <w:proofErr w:type="gramEnd"/>
      <w:r w:rsidRPr="00A270B4">
        <w:t xml:space="preserve"> televisão durante o período das 8h as 11h da noite.</w:t>
      </w:r>
    </w:p>
    <w:p w:rsidR="00431AB0" w:rsidRDefault="00431AB0" w:rsidP="00431AB0">
      <w:pPr>
        <w:jc w:val="both"/>
      </w:pPr>
    </w:p>
    <w:p w:rsidR="00431AB0" w:rsidRDefault="00431AB0" w:rsidP="00431AB0">
      <w:pPr>
        <w:jc w:val="both"/>
      </w:pPr>
    </w:p>
    <w:p w:rsidR="00431AB0" w:rsidRDefault="00431AB0" w:rsidP="00431AB0">
      <w:pPr>
        <w:jc w:val="both"/>
      </w:pPr>
    </w:p>
    <w:p w:rsidR="00431AB0" w:rsidRDefault="00E3596A" w:rsidP="009763D8">
      <w:pPr>
        <w:jc w:val="both"/>
        <w:rPr>
          <w:b/>
        </w:rPr>
      </w:pPr>
      <w:r>
        <w:rPr>
          <w:b/>
        </w:rPr>
        <w:t xml:space="preserve">2 – Um artigo no </w:t>
      </w:r>
      <w:r w:rsidRPr="009763D8">
        <w:rPr>
          <w:b/>
          <w:i/>
        </w:rPr>
        <w:t>jornal of Composite Materials</w:t>
      </w:r>
      <w:r>
        <w:rPr>
          <w:b/>
        </w:rPr>
        <w:t xml:space="preserve"> </w:t>
      </w:r>
      <w:r w:rsidRPr="009763D8">
        <w:rPr>
          <w:b/>
          <w:sz w:val="20"/>
          <w:szCs w:val="20"/>
        </w:rPr>
        <w:t>(dezembro de 1989, vol. 23, p. 1.200)</w:t>
      </w:r>
      <w:r w:rsidR="009763D8">
        <w:rPr>
          <w:b/>
          <w:sz w:val="20"/>
          <w:szCs w:val="20"/>
        </w:rPr>
        <w:t xml:space="preserve"> </w:t>
      </w:r>
      <w:r w:rsidR="009763D8">
        <w:rPr>
          <w:b/>
        </w:rPr>
        <w:t xml:space="preserve">descreve o efeito de delaminação na frequência natural de vigas feitas de laminados compósitos. Cinco dessas vigas </w:t>
      </w:r>
      <w:proofErr w:type="spellStart"/>
      <w:r w:rsidR="009763D8">
        <w:rPr>
          <w:b/>
        </w:rPr>
        <w:t>delaminadas</w:t>
      </w:r>
      <w:proofErr w:type="spellEnd"/>
      <w:r w:rsidR="009763D8">
        <w:rPr>
          <w:b/>
        </w:rPr>
        <w:t xml:space="preserve"> foram submetidas a cargas e as frequências (em Hz) resultantes foram:</w:t>
      </w:r>
    </w:p>
    <w:p w:rsidR="009763D8" w:rsidRDefault="009763D8" w:rsidP="009763D8">
      <w:pPr>
        <w:jc w:val="center"/>
        <w:rPr>
          <w:b/>
        </w:rPr>
      </w:pPr>
      <w:proofErr w:type="gramStart"/>
      <w:r>
        <w:rPr>
          <w:b/>
        </w:rPr>
        <w:t>230,66 ;</w:t>
      </w:r>
      <w:proofErr w:type="gramEnd"/>
      <w:r>
        <w:rPr>
          <w:b/>
        </w:rPr>
        <w:t xml:space="preserve"> 233,05 ; 232,58 ; 229,48 ; 232,58</w:t>
      </w:r>
    </w:p>
    <w:p w:rsidR="00431AB0" w:rsidRDefault="009763D8" w:rsidP="009763D8">
      <w:pPr>
        <w:jc w:val="both"/>
        <w:rPr>
          <w:b/>
        </w:rPr>
      </w:pPr>
      <w:r>
        <w:rPr>
          <w:b/>
        </w:rPr>
        <w:t>Encontre o intervalo bilateral de confiança de 90% para a frequência natural média. Os resultados do seu cálculo confirmam o argumento de que a frequência</w:t>
      </w:r>
      <w:r>
        <w:t xml:space="preserve"> </w:t>
      </w:r>
      <w:r w:rsidRPr="009763D8">
        <w:rPr>
          <w:b/>
        </w:rPr>
        <w:t>natural média é 235 Hz?</w:t>
      </w:r>
    </w:p>
    <w:p w:rsidR="005426C4" w:rsidRDefault="005426C4" w:rsidP="009763D8">
      <w:pPr>
        <w:jc w:val="both"/>
        <w:rPr>
          <w:b/>
        </w:rPr>
      </w:pPr>
    </w:p>
    <w:p w:rsidR="005426C4" w:rsidRPr="00AF292A" w:rsidRDefault="005426C4" w:rsidP="005426C4">
      <w:pPr>
        <w:tabs>
          <w:tab w:val="left" w:pos="1575"/>
        </w:tabs>
        <w:jc w:val="both"/>
        <w:rPr>
          <w:rFonts w:eastAsiaTheme="minorEastAsia"/>
          <w:color w:val="FF0000"/>
        </w:rPr>
      </w:pPr>
      <w:r w:rsidRPr="00AF292A">
        <w:rPr>
          <w:color w:val="FF0000"/>
        </w:rPr>
        <w:t>Resolução:</w:t>
      </w:r>
      <w:r>
        <w:rPr>
          <w:color w:val="FF0000"/>
        </w:rPr>
        <w:tab/>
      </w:r>
    </w:p>
    <w:p w:rsidR="00312A05" w:rsidRDefault="005426C4" w:rsidP="005426C4">
      <w:pPr>
        <w:rPr>
          <w:rFonts w:eastAsiaTheme="minorEastAsia"/>
        </w:rPr>
      </w:pPr>
      <w:r w:rsidRPr="00AF292A">
        <w:rPr>
          <w:b/>
        </w:rPr>
        <w:t>Dados:</w:t>
      </w:r>
      <w:r>
        <w:t xml:space="preserve"> </w:t>
      </w:r>
      <w:r w:rsidRPr="00AF292A">
        <w:t>n=</w:t>
      </w:r>
      <w:r>
        <w:t>5</w:t>
      </w:r>
      <w:r w:rsidRPr="00AF292A">
        <w:t xml:space="preserve">, </w:t>
      </w:r>
      <m:oMath>
        <m:r>
          <w:rPr>
            <w:rFonts w:ascii="Cambria Math" w:hAnsi="Cambria Math"/>
          </w:rPr>
          <m:t>1-α</m:t>
        </m:r>
        <m:r>
          <w:rPr>
            <w:rFonts w:ascii="Cambria Math"/>
          </w:rPr>
          <m:t>=0,90</m:t>
        </m:r>
      </m:oMath>
      <w:r w:rsidRPr="00AF292A">
        <w:rPr>
          <w:rFonts w:eastAsiaTheme="minorEastAsia"/>
        </w:rPr>
        <w:t>,</w:t>
      </w:r>
      <w:proofErr w:type="gramStart"/>
      <w:r w:rsidRPr="00AF292A">
        <w:rPr>
          <w:rFonts w:eastAsiaTheme="minorEastAsia"/>
        </w:rPr>
        <w:t xml:space="preserve">  </w:t>
      </w:r>
    </w:p>
    <w:p w:rsidR="00267AE4" w:rsidRDefault="00267AE4" w:rsidP="005426C4">
      <w:pPr>
        <w:rPr>
          <w:rFonts w:eastAsiaTheme="minorEastAsia"/>
        </w:rPr>
      </w:pPr>
      <w:proofErr w:type="gramEnd"/>
    </w:p>
    <w:p w:rsidR="00312A05" w:rsidRPr="00312A05" w:rsidRDefault="002F0C31" w:rsidP="005426C4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230,66 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233,05 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232,58 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229,48 </m:t>
              </m:r>
              <m:r>
                <w:rPr>
                  <w:rFonts w:ascii="Cambria Math" w:hAnsi="Cambria Math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232,58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</w:rPr>
                <m:t>5</m:t>
              </m:r>
            </m:den>
          </m:f>
          <m:r>
            <w:rPr>
              <w:rFonts w:ascii="Cambria Math" w:hAnsi="Cambria Math" w:cs="Arial"/>
            </w:rPr>
            <m:t>=231,67</m:t>
          </m:r>
        </m:oMath>
      </m:oMathPara>
    </w:p>
    <w:p w:rsidR="00312A05" w:rsidRPr="00312A05" w:rsidRDefault="00312A05" w:rsidP="005426C4">
      <w:pPr>
        <w:jc w:val="both"/>
        <w:rPr>
          <w:rFonts w:eastAsiaTheme="minorEastAsia"/>
        </w:rPr>
      </w:pPr>
    </w:p>
    <w:p w:rsidR="00B91722" w:rsidRDefault="00B91722" w:rsidP="005426C4">
      <w:pPr>
        <w:jc w:val="both"/>
      </w:pPr>
      <w:proofErr w:type="gramStart"/>
      <w:r>
        <w:t>e</w:t>
      </w:r>
      <w:proofErr w:type="gramEnd"/>
      <w:r>
        <w:t xml:space="preserve"> </w:t>
      </w:r>
      <w:r>
        <w:rPr>
          <w:rFonts w:ascii="Cambria Math" w:hAnsi="Cambria Math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=2,09</m:t>
          </m:r>
        </m:oMath>
      </m:oMathPara>
    </w:p>
    <w:p w:rsidR="005426C4" w:rsidRDefault="00312A05" w:rsidP="005426C4">
      <w:pPr>
        <w:jc w:val="both"/>
      </w:pPr>
      <w:r>
        <w:t>Sabemos que</w:t>
      </w:r>
      <w:r w:rsidR="005426C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,n-1</m:t>
            </m:r>
          </m:sub>
        </m:sSub>
      </m:oMath>
      <w:r w:rsidR="005426C4">
        <w:t xml:space="preserve">  é obtido através da tabela de distribuição </w:t>
      </w:r>
      <w:r w:rsidR="00615D63">
        <w:t xml:space="preserve">t de </w:t>
      </w:r>
      <w:proofErr w:type="spellStart"/>
      <w:r w:rsidR="00615D63">
        <w:t>student</w:t>
      </w:r>
      <w:proofErr w:type="spellEnd"/>
      <w:r w:rsidR="005426C4">
        <w:t>.</w:t>
      </w:r>
    </w:p>
    <w:p w:rsidR="005426C4" w:rsidRDefault="005426C4" w:rsidP="005426C4">
      <w:pPr>
        <w:jc w:val="both"/>
      </w:pPr>
      <w:r>
        <w:t>Logo,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0,10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 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0,05 ,   4</m:t>
            </m:r>
          </m:sub>
        </m:sSub>
        <m:r>
          <w:rPr>
            <w:rFonts w:ascii="Cambria Math" w:hAnsi="Cambria Math"/>
          </w:rPr>
          <m:t>=2,132</m:t>
        </m:r>
      </m:oMath>
      <w:r w:rsidR="00AE02A2">
        <w:t xml:space="preserve">   </w:t>
      </w:r>
    </w:p>
    <w:p w:rsidR="00312A05" w:rsidRDefault="00312A05" w:rsidP="005426C4">
      <w:pPr>
        <w:jc w:val="both"/>
      </w:pPr>
    </w:p>
    <w:p w:rsidR="005426C4" w:rsidRDefault="005426C4" w:rsidP="005426C4">
      <w:pPr>
        <w:jc w:val="both"/>
      </w:pPr>
      <w:r>
        <w:t>Assim, temos que:</w:t>
      </w:r>
    </w:p>
    <w:p w:rsidR="005426C4" w:rsidRDefault="00387D87" w:rsidP="005426C4">
      <w:pPr>
        <w:jc w:val="both"/>
      </w:pPr>
      <m:oMathPara>
        <m:oMath>
          <m:r>
            <w:rPr>
              <w:rFonts w:ascii="Cambria Math" w:hAnsi="Cambria Math" w:cs="Arial"/>
            </w:rPr>
            <m:t>231,67</m:t>
          </m:r>
          <m:r>
            <w:rPr>
              <w:rFonts w:ascii="Cambria Math" w:hAnsi="Cambria Math"/>
            </w:rPr>
            <m:t>-2,132×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2,09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</w:rPr>
            <m:t>≤μ≤</m:t>
          </m:r>
          <m:r>
            <w:rPr>
              <w:rFonts w:ascii="Cambria Math" w:hAnsi="Cambria Math" w:cs="Arial"/>
            </w:rPr>
            <m:t>231,67</m:t>
          </m:r>
          <m:r>
            <w:rPr>
              <w:rFonts w:ascii="Cambria Math" w:hAnsi="Cambria Math"/>
            </w:rPr>
            <m:t>+2,132×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2,09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:rsidR="005426C4" w:rsidRDefault="005426C4" w:rsidP="005426C4">
      <w:pPr>
        <w:jc w:val="both"/>
      </w:pPr>
    </w:p>
    <w:p w:rsidR="005426C4" w:rsidRDefault="00615D63" w:rsidP="005426C4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229,68≤μ≤233,66                                             </m:t>
          </m:r>
        </m:oMath>
      </m:oMathPara>
    </w:p>
    <w:p w:rsidR="005426C4" w:rsidRDefault="005426C4" w:rsidP="009763D8">
      <w:pPr>
        <w:jc w:val="both"/>
      </w:pPr>
      <w:r>
        <w:t xml:space="preserve">Então, </w:t>
      </w:r>
      <w:r w:rsidR="00370CF7">
        <w:t xml:space="preserve">a frequência natural média igual a 235 não se encontra dentro do intervalo de confiança, logo não posso dizer que 235 </w:t>
      </w:r>
      <w:proofErr w:type="gramStart"/>
      <w:r w:rsidR="00370CF7">
        <w:t>é</w:t>
      </w:r>
      <w:proofErr w:type="gramEnd"/>
      <w:r w:rsidR="00370CF7">
        <w:t xml:space="preserve"> uma média natural da frequência.</w:t>
      </w:r>
    </w:p>
    <w:p w:rsidR="00534FDC" w:rsidRDefault="00534FDC" w:rsidP="009763D8">
      <w:pPr>
        <w:jc w:val="both"/>
      </w:pPr>
    </w:p>
    <w:p w:rsidR="00534FDC" w:rsidRDefault="00534FDC" w:rsidP="009763D8">
      <w:pPr>
        <w:jc w:val="both"/>
      </w:pPr>
    </w:p>
    <w:p w:rsidR="00534FDC" w:rsidRDefault="00534FDC" w:rsidP="009763D8">
      <w:pPr>
        <w:jc w:val="both"/>
        <w:rPr>
          <w:b/>
        </w:rPr>
      </w:pPr>
      <w:r>
        <w:rPr>
          <w:b/>
        </w:rPr>
        <w:t xml:space="preserve">3 – A porcentagem de titânio em uma liga usada na fundição de aeronaves é medida em 51 peças selecionadas aleatoriamente. O desvio padrão da amostra é s = 0,37. Construa um intervalo de confiança de 95% para </w:t>
      </w:r>
      <m:oMath>
        <m:r>
          <w:rPr>
            <w:rFonts w:ascii="Cambria Math" w:eastAsiaTheme="minorEastAsia" w:hAnsi="Cambria Math"/>
          </w:rPr>
          <m:t>σ.</m:t>
        </m:r>
      </m:oMath>
    </w:p>
    <w:p w:rsidR="00534FDC" w:rsidRDefault="00534FDC" w:rsidP="009763D8">
      <w:pPr>
        <w:jc w:val="both"/>
        <w:rPr>
          <w:b/>
        </w:rPr>
      </w:pPr>
    </w:p>
    <w:p w:rsidR="00534FDC" w:rsidRPr="00AF292A" w:rsidRDefault="00534FDC" w:rsidP="00534FDC">
      <w:pPr>
        <w:tabs>
          <w:tab w:val="left" w:pos="1575"/>
        </w:tabs>
        <w:jc w:val="both"/>
        <w:rPr>
          <w:rFonts w:eastAsiaTheme="minorEastAsia"/>
          <w:color w:val="FF0000"/>
        </w:rPr>
      </w:pPr>
      <w:r w:rsidRPr="00AF292A">
        <w:rPr>
          <w:color w:val="FF0000"/>
        </w:rPr>
        <w:t>Resolução:</w:t>
      </w:r>
      <w:r>
        <w:rPr>
          <w:color w:val="FF0000"/>
        </w:rPr>
        <w:tab/>
      </w:r>
    </w:p>
    <w:p w:rsidR="00534FDC" w:rsidRDefault="00534FDC" w:rsidP="00534FDC">
      <w:pPr>
        <w:rPr>
          <w:rFonts w:eastAsiaTheme="minorEastAsia"/>
        </w:rPr>
      </w:pPr>
      <w:r w:rsidRPr="00AF292A">
        <w:rPr>
          <w:b/>
        </w:rPr>
        <w:t>Dados:</w:t>
      </w:r>
      <w:r>
        <w:t xml:space="preserve"> </w:t>
      </w:r>
      <w:r w:rsidRPr="00AF292A">
        <w:t>n=</w:t>
      </w:r>
      <w:r>
        <w:t>51</w:t>
      </w:r>
      <w:r w:rsidRPr="00AF292A">
        <w:t xml:space="preserve">, </w:t>
      </w:r>
      <m:oMath>
        <m:r>
          <w:rPr>
            <w:rFonts w:ascii="Cambria Math" w:hAnsi="Cambria Math"/>
          </w:rPr>
          <m:t>1-α</m:t>
        </m:r>
        <m:r>
          <w:rPr>
            <w:rFonts w:ascii="Cambria Math"/>
          </w:rPr>
          <m:t>=0,95</m:t>
        </m:r>
      </m:oMath>
      <w:r w:rsidRPr="00AF292A">
        <w:rPr>
          <w:rFonts w:eastAsiaTheme="minorEastAsia"/>
        </w:rPr>
        <w:t xml:space="preserve">, </w:t>
      </w:r>
    </w:p>
    <w:p w:rsidR="00534FDC" w:rsidRDefault="00534FDC" w:rsidP="00534FDC">
      <w:pPr>
        <w:rPr>
          <w:rFonts w:eastAsiaTheme="minorEastAsia"/>
        </w:rPr>
      </w:pPr>
    </w:p>
    <w:p w:rsidR="00534FDC" w:rsidRPr="00AF292A" w:rsidRDefault="00534FDC" w:rsidP="00534FDC">
      <w:pPr>
        <w:rPr>
          <w:rFonts w:eastAsiaTheme="minorEastAsia"/>
        </w:rPr>
      </w:pPr>
      <w:r>
        <w:rPr>
          <w:rFonts w:eastAsiaTheme="minorEastAsia"/>
        </w:rPr>
        <w:t>Sabemos que o intervalo de confiança é obtido da seguinte forma:</w:t>
      </w:r>
    </w:p>
    <w:p w:rsidR="00534FDC" w:rsidRDefault="00534FDC" w:rsidP="009763D8">
      <w:pPr>
        <w:jc w:val="both"/>
        <w:rPr>
          <w:b/>
        </w:rPr>
      </w:pPr>
    </w:p>
    <w:p w:rsidR="00534FDC" w:rsidRDefault="002F0C31" w:rsidP="00534FDC">
      <w:pPr>
        <w:jc w:val="center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/>
                      <w:sz w:val="22"/>
                      <w:szCs w:val="22"/>
                    </w:rPr>
                    <m:t>x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α</m:t>
                      </m:r>
                    </m:num>
                    <m:den>
                      <m:r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22"/>
                      <w:szCs w:val="22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  <m:r>
                    <w:rPr>
                      <w:rFonts w:ascii="Cambria Math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/>
                      <w:sz w:val="22"/>
                      <w:szCs w:val="22"/>
                    </w:rPr>
                    <m:t>1</m:t>
                  </m:r>
                </m:sub>
                <m:sup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sup>
              </m:sSubSup>
            </m:den>
          </m:f>
        </m:oMath>
      </m:oMathPara>
    </w:p>
    <w:p w:rsidR="00534FDC" w:rsidRDefault="00534FDC" w:rsidP="00534FDC">
      <w:pPr>
        <w:jc w:val="center"/>
        <w:rPr>
          <w:sz w:val="22"/>
          <w:szCs w:val="22"/>
        </w:rPr>
      </w:pPr>
    </w:p>
    <w:p w:rsidR="00C52479" w:rsidRDefault="00534FDC" w:rsidP="00C52479">
      <w:pPr>
        <w:rPr>
          <w:sz w:val="22"/>
          <w:szCs w:val="22"/>
        </w:rPr>
      </w:pPr>
      <w:r>
        <w:rPr>
          <w:sz w:val="22"/>
          <w:szCs w:val="22"/>
        </w:rPr>
        <w:t xml:space="preserve">Então falta obtermos os valores da </w:t>
      </w:r>
      <w:proofErr w:type="spellStart"/>
      <w:r>
        <w:rPr>
          <w:sz w:val="22"/>
          <w:szCs w:val="22"/>
        </w:rPr>
        <w:t>qui-quadrado</w:t>
      </w:r>
      <w:proofErr w:type="spellEnd"/>
      <w:r>
        <w:rPr>
          <w:sz w:val="22"/>
          <w:szCs w:val="22"/>
        </w:rPr>
        <w:t>:</w:t>
      </w:r>
    </w:p>
    <w:p w:rsidR="00C52479" w:rsidRDefault="00C52479" w:rsidP="00C52479">
      <w:pPr>
        <w:rPr>
          <w:sz w:val="22"/>
          <w:szCs w:val="22"/>
        </w:rPr>
      </w:pPr>
    </w:p>
    <w:p w:rsidR="00534FDC" w:rsidRDefault="002F0C31" w:rsidP="00534FDC">
      <w:pPr>
        <w:jc w:val="center"/>
        <w:rPr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α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/>
                <w:sz w:val="22"/>
                <w:szCs w:val="22"/>
              </w:rPr>
              <m:t xml:space="preserve">,  </m:t>
            </m:r>
            <m:r>
              <w:rPr>
                <w:rFonts w:ascii="Cambria Math" w:hAnsi="Cambria Math"/>
                <w:sz w:val="22"/>
                <w:szCs w:val="22"/>
              </w:rPr>
              <m:t>n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  <m:r>
          <w:rPr>
            <w:rFonts w:asci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0,05</m:t>
                </m:r>
              </m:num>
              <m:den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/>
                <w:sz w:val="22"/>
                <w:szCs w:val="22"/>
              </w:rPr>
              <m:t xml:space="preserve">,  </m:t>
            </m:r>
            <m:r>
              <w:rPr>
                <w:rFonts w:ascii="Cambria Math" w:hAnsi="Cambria Math"/>
                <w:sz w:val="22"/>
                <w:szCs w:val="22"/>
              </w:rPr>
              <m:t>51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  <m:r>
          <w:rPr>
            <w:rFonts w:asci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/>
                <w:sz w:val="22"/>
                <w:szCs w:val="22"/>
              </w:rPr>
              <m:t xml:space="preserve">0,025,  </m:t>
            </m:r>
            <m:r>
              <w:rPr>
                <w:rFonts w:ascii="Cambria Math" w:hAnsi="Cambria Math"/>
                <w:sz w:val="22"/>
                <w:szCs w:val="22"/>
              </w:rPr>
              <m:t>50</m:t>
            </m:r>
          </m:sub>
          <m:sup>
            <m:r>
              <w:rPr>
                <w:rFonts w:ascii="Cambria Math"/>
                <w:sz w:val="22"/>
                <w:szCs w:val="22"/>
              </w:rPr>
              <m:t>2</m:t>
            </m:r>
          </m:sup>
        </m:sSubSup>
        <m:r>
          <w:rPr>
            <w:rFonts w:ascii="Cambria Math"/>
            <w:sz w:val="22"/>
            <w:szCs w:val="22"/>
          </w:rPr>
          <m:t>=</m:t>
        </m:r>
        <m:r>
          <w:rPr>
            <w:rFonts w:ascii="Cambria Math" w:hAnsi="Cambria Math"/>
          </w:rPr>
          <m:t>32,35</m:t>
        </m:r>
      </m:oMath>
      <w:r w:rsidR="00534FDC">
        <w:rPr>
          <w:sz w:val="22"/>
          <w:szCs w:val="22"/>
        </w:rPr>
        <w:t xml:space="preserve"> </w:t>
      </w:r>
    </w:p>
    <w:p w:rsidR="00D268F0" w:rsidRDefault="00D268F0" w:rsidP="00534FDC">
      <w:pPr>
        <w:jc w:val="center"/>
        <w:rPr>
          <w:sz w:val="22"/>
          <w:szCs w:val="22"/>
        </w:rPr>
      </w:pPr>
    </w:p>
    <w:p w:rsidR="00C52479" w:rsidRDefault="002F0C31" w:rsidP="00534FDC">
      <w:pPr>
        <w:jc w:val="center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 xml:space="preserve">,  </m:t>
              </m:r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  <m:r>
                <w:rPr>
                  <w:rFonts w:ascii="Cambria Math"/>
                  <w:sz w:val="22"/>
                  <w:szCs w:val="22"/>
                </w:rPr>
                <m:t>-</m:t>
              </m:r>
              <m:r>
                <w:rPr>
                  <w:rFonts w:asci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0,05</m:t>
                  </m:r>
                </m:num>
                <m:den>
                  <m:r>
                    <w:rPr>
                      <w:rFonts w:asci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/>
                  <w:sz w:val="22"/>
                  <w:szCs w:val="22"/>
                </w:rPr>
                <m:t xml:space="preserve">,  </m:t>
              </m:r>
              <m:r>
                <w:rPr>
                  <w:rFonts w:ascii="Cambria Math" w:hAnsi="Cambria Math"/>
                  <w:sz w:val="22"/>
                  <w:szCs w:val="22"/>
                </w:rPr>
                <m:t>51</m:t>
              </m:r>
              <m:r>
                <w:rPr>
                  <w:rFonts w:ascii="Cambria Math"/>
                  <w:sz w:val="22"/>
                  <w:szCs w:val="22"/>
                </w:rPr>
                <m:t>-</m:t>
              </m:r>
              <m:r>
                <w:rPr>
                  <w:rFonts w:ascii="Cambria Math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/>
              <w:sz w:val="22"/>
              <w:szCs w:val="2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/>
                  <w:sz w:val="22"/>
                  <w:szCs w:val="22"/>
                </w:rPr>
                <m:t xml:space="preserve">0,975,  </m:t>
              </m:r>
              <m:r>
                <w:rPr>
                  <w:rFonts w:ascii="Cambria Math" w:hAnsi="Cambria Math"/>
                  <w:sz w:val="22"/>
                  <w:szCs w:val="22"/>
                </w:rPr>
                <m:t>50</m:t>
              </m:r>
            </m:sub>
            <m:sup>
              <m:r>
                <w:rPr>
                  <w:rFonts w:asci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/>
              <w:sz w:val="22"/>
              <w:szCs w:val="22"/>
            </w:rPr>
            <m:t>=</m:t>
          </m:r>
          <m:r>
            <w:rPr>
              <w:rFonts w:ascii="Cambria Math" w:hAnsi="Cambria Math"/>
            </w:rPr>
            <m:t>71,42</m:t>
          </m:r>
        </m:oMath>
      </m:oMathPara>
    </w:p>
    <w:p w:rsidR="00C52479" w:rsidRDefault="00C52479" w:rsidP="00534FDC">
      <w:pPr>
        <w:jc w:val="center"/>
        <w:rPr>
          <w:sz w:val="22"/>
          <w:szCs w:val="22"/>
        </w:rPr>
      </w:pPr>
    </w:p>
    <w:p w:rsidR="00C52479" w:rsidRPr="00687E6C" w:rsidRDefault="00C52479" w:rsidP="00534FDC">
      <w:pPr>
        <w:jc w:val="center"/>
      </w:pPr>
    </w:p>
    <w:p w:rsidR="00D631EC" w:rsidRDefault="00D631EC" w:rsidP="00D631EC">
      <w:pPr>
        <w:rPr>
          <w:sz w:val="22"/>
          <w:szCs w:val="22"/>
        </w:rPr>
      </w:pPr>
      <w:r w:rsidRPr="00D631EC">
        <w:t>Logo,</w:t>
      </w:r>
      <w:r>
        <w:t xml:space="preserve"> </w:t>
      </w:r>
      <w:r>
        <w:rPr>
          <w:rFonts w:ascii="Cambria Math" w:hAnsi="Cambria Math"/>
          <w:sz w:val="22"/>
          <w:szCs w:val="22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0,37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71,42</m:t>
              </m:r>
            </m:den>
          </m:f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51-1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0,37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32,35</m:t>
              </m:r>
            </m:den>
          </m:f>
        </m:oMath>
      </m:oMathPara>
    </w:p>
    <w:p w:rsidR="00534FDC" w:rsidRPr="00D631EC" w:rsidRDefault="00534FDC" w:rsidP="009763D8">
      <w:pPr>
        <w:jc w:val="both"/>
      </w:pPr>
    </w:p>
    <w:p w:rsidR="00D631EC" w:rsidRDefault="00307F31" w:rsidP="009763D8">
      <w:pPr>
        <w:jc w:val="both"/>
        <w:rPr>
          <w:b/>
          <w:color w:val="FF0000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0,096</m:t>
          </m:r>
          <m:r>
            <w:rPr>
              <w:rFonts w:ascii="Cambria Math"/>
              <w:sz w:val="22"/>
              <w:szCs w:val="22"/>
            </w:rPr>
            <m:t xml:space="preserve"> 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 w:hAnsi="Cambria Math"/>
              <w:sz w:val="22"/>
              <w:szCs w:val="22"/>
            </w:rPr>
            <m:t>0,21</m:t>
          </m:r>
        </m:oMath>
      </m:oMathPara>
    </w:p>
    <w:p w:rsidR="00AE02A2" w:rsidRDefault="00AE02A2" w:rsidP="009763D8">
      <w:pPr>
        <w:jc w:val="both"/>
        <w:rPr>
          <w:b/>
          <w:color w:val="FF0000"/>
        </w:rPr>
      </w:pPr>
    </w:p>
    <w:p w:rsidR="00AE02A2" w:rsidRDefault="00AE02A2" w:rsidP="009763D8">
      <w:pPr>
        <w:jc w:val="both"/>
        <w:rPr>
          <w:b/>
        </w:rPr>
      </w:pPr>
      <w:r>
        <w:rPr>
          <w:b/>
        </w:rPr>
        <w:t xml:space="preserve">4 – Um fabricante de calculadoras eletrônicas está interessado em estimar </w:t>
      </w:r>
      <w:r w:rsidRPr="00AE02A2">
        <w:rPr>
          <w:b/>
        </w:rPr>
        <w:t>a fração de unidades defeituosas produzidas</w:t>
      </w:r>
      <w:r>
        <w:rPr>
          <w:b/>
        </w:rPr>
        <w:t>. Uma amostra aleatória de 800 calculadoras contém 10 defeitos</w:t>
      </w:r>
      <w:r w:rsidR="00272448">
        <w:rPr>
          <w:b/>
        </w:rPr>
        <w:t>. Calcule um intervalo superior de confiança de 99% para a fração defeituosa.</w:t>
      </w:r>
    </w:p>
    <w:p w:rsidR="00272448" w:rsidRDefault="00272448" w:rsidP="009763D8">
      <w:pPr>
        <w:jc w:val="both"/>
        <w:rPr>
          <w:b/>
        </w:rPr>
      </w:pPr>
    </w:p>
    <w:p w:rsidR="00272448" w:rsidRPr="00AF292A" w:rsidRDefault="00272448" w:rsidP="00272448">
      <w:pPr>
        <w:tabs>
          <w:tab w:val="left" w:pos="1575"/>
        </w:tabs>
        <w:jc w:val="both"/>
        <w:rPr>
          <w:rFonts w:eastAsiaTheme="minorEastAsia"/>
          <w:color w:val="FF0000"/>
        </w:rPr>
      </w:pPr>
      <w:r w:rsidRPr="00AF292A">
        <w:rPr>
          <w:color w:val="FF0000"/>
        </w:rPr>
        <w:lastRenderedPageBreak/>
        <w:t>Resolução:</w:t>
      </w:r>
      <w:r>
        <w:rPr>
          <w:color w:val="FF0000"/>
        </w:rPr>
        <w:tab/>
      </w:r>
    </w:p>
    <w:p w:rsidR="00272448" w:rsidRDefault="00272448" w:rsidP="00272448">
      <w:pPr>
        <w:rPr>
          <w:rFonts w:eastAsiaTheme="minorEastAsia"/>
        </w:rPr>
      </w:pPr>
      <w:r w:rsidRPr="00AF292A">
        <w:rPr>
          <w:b/>
        </w:rPr>
        <w:t>Dados:</w:t>
      </w:r>
      <w:r w:rsidRPr="00AF292A">
        <w:t xml:space="preserve"> </w:t>
      </w:r>
      <m:oMath>
        <w:proofErr w:type="gramStart"/>
        <m:r>
          <w:rPr>
            <w:rFonts w:ascii="Cambria Math" w:hAnsi="Cambria Math"/>
          </w:rPr>
          <m:t>1</m:t>
        </m:r>
        <w:proofErr w:type="gramEnd"/>
        <m:r>
          <w:rPr>
            <w:rFonts w:ascii="Cambria Math" w:hAnsi="Cambria Math"/>
          </w:rPr>
          <m:t>-α</m:t>
        </m:r>
        <m:r>
          <w:rPr>
            <w:rFonts w:ascii="Cambria Math"/>
          </w:rPr>
          <m:t>=0,99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=0,0125=1,25%</m:t>
        </m:r>
      </m:oMath>
    </w:p>
    <w:p w:rsidR="00272448" w:rsidRDefault="00272448" w:rsidP="00272448">
      <w:pPr>
        <w:rPr>
          <w:rFonts w:eastAsiaTheme="minorEastAsia"/>
        </w:rPr>
      </w:pPr>
    </w:p>
    <w:p w:rsidR="00272448" w:rsidRDefault="00272448" w:rsidP="00272448">
      <w:pPr>
        <w:rPr>
          <w:rFonts w:eastAsiaTheme="minorEastAsia"/>
        </w:rPr>
      </w:pPr>
      <w:r>
        <w:rPr>
          <w:rFonts w:eastAsiaTheme="minorEastAsia"/>
        </w:rPr>
        <w:t xml:space="preserve">Sabemos que para achar o intervalo de confiança, precisamos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0,01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/>
              </w:rPr>
              <m:t>0,005</m:t>
            </m:r>
          </m:sub>
        </m:sSub>
        <m:r>
          <w:rPr>
            <w:rFonts w:ascii="Cambria Math" w:eastAsiaTheme="minorEastAsia" w:hAnsi="Cambria Math"/>
          </w:rPr>
          <m:t>=2,57.</m:t>
        </m:r>
      </m:oMath>
      <w:r>
        <w:rPr>
          <w:rFonts w:eastAsiaTheme="minorEastAsia"/>
        </w:rPr>
        <w:t xml:space="preserve"> Logo, substituindo os valores na fórmula, temos:</w:t>
      </w:r>
    </w:p>
    <w:p w:rsidR="001A7525" w:rsidRDefault="001A7525" w:rsidP="00272448">
      <w:pPr>
        <w:rPr>
          <w:rFonts w:eastAsiaTheme="minorEastAsia"/>
        </w:rPr>
      </w:pPr>
    </w:p>
    <w:p w:rsidR="00272448" w:rsidRPr="00E553A3" w:rsidRDefault="00272448" w:rsidP="00272448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/>
              <w:sz w:val="22"/>
              <w:szCs w:val="22"/>
            </w:rPr>
            <m:t xml:space="preserve"> p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 w:hAnsi="Cambria Math"/>
            </w:rPr>
            <m:t>0,0125</m:t>
          </m:r>
          <m:r>
            <w:rPr>
              <w:rFonts w:ascii="Cambria Math"/>
            </w:rPr>
            <m:t>+2,57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0,0125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1-0,0125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800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>=0,0226</m:t>
          </m:r>
        </m:oMath>
      </m:oMathPara>
    </w:p>
    <w:p w:rsidR="00E553A3" w:rsidRPr="00E553A3" w:rsidRDefault="00E553A3" w:rsidP="00272448">
      <w:pPr>
        <w:rPr>
          <w:rFonts w:eastAsiaTheme="minorEastAsia"/>
        </w:rPr>
      </w:pPr>
      <w:r>
        <w:rPr>
          <w:rFonts w:eastAsiaTheme="minorEastAsia"/>
        </w:rPr>
        <w:t xml:space="preserve">Assim, </w:t>
      </w:r>
    </w:p>
    <w:p w:rsidR="00272448" w:rsidRDefault="00E553A3" w:rsidP="00272448">
      <w:pPr>
        <w:jc w:val="both"/>
        <w:rPr>
          <w:b/>
        </w:rPr>
      </w:pPr>
      <m:oMathPara>
        <m:oMath>
          <m:r>
            <w:rPr>
              <w:rFonts w:ascii="Cambria Math"/>
              <w:sz w:val="22"/>
              <w:szCs w:val="22"/>
            </w:rPr>
            <m:t>p</m:t>
          </m:r>
          <m:r>
            <w:rPr>
              <w:rFonts w:ascii="Cambria Math"/>
              <w:sz w:val="22"/>
              <w:szCs w:val="22"/>
            </w:rPr>
            <m:t>≤</m:t>
          </m:r>
          <m:r>
            <w:rPr>
              <w:rFonts w:ascii="Cambria Math" w:hAnsi="Cambria Math"/>
              <w:sz w:val="22"/>
              <w:szCs w:val="22"/>
            </w:rPr>
            <m:t>0,0226</m:t>
          </m:r>
        </m:oMath>
      </m:oMathPara>
    </w:p>
    <w:p w:rsidR="00272448" w:rsidRPr="00AE02A2" w:rsidRDefault="00272448" w:rsidP="009763D8">
      <w:pPr>
        <w:jc w:val="both"/>
        <w:rPr>
          <w:b/>
          <w:color w:val="FF0000"/>
        </w:rPr>
      </w:pPr>
    </w:p>
    <w:sectPr w:rsidR="00272448" w:rsidRPr="00AE02A2" w:rsidSect="007A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1AB0"/>
    <w:rsid w:val="0009352B"/>
    <w:rsid w:val="00161C77"/>
    <w:rsid w:val="001A7525"/>
    <w:rsid w:val="00267AE4"/>
    <w:rsid w:val="00272448"/>
    <w:rsid w:val="002F0C31"/>
    <w:rsid w:val="00307F31"/>
    <w:rsid w:val="00312A05"/>
    <w:rsid w:val="00370CF7"/>
    <w:rsid w:val="00387D87"/>
    <w:rsid w:val="00431AB0"/>
    <w:rsid w:val="00444837"/>
    <w:rsid w:val="00534FDC"/>
    <w:rsid w:val="005426C4"/>
    <w:rsid w:val="00567730"/>
    <w:rsid w:val="00581EC8"/>
    <w:rsid w:val="006004FF"/>
    <w:rsid w:val="00614884"/>
    <w:rsid w:val="00615D63"/>
    <w:rsid w:val="00687E6C"/>
    <w:rsid w:val="006B7F72"/>
    <w:rsid w:val="007A3FD4"/>
    <w:rsid w:val="009763D8"/>
    <w:rsid w:val="00AE02A2"/>
    <w:rsid w:val="00B314A6"/>
    <w:rsid w:val="00B91722"/>
    <w:rsid w:val="00C03B4A"/>
    <w:rsid w:val="00C138BA"/>
    <w:rsid w:val="00C52479"/>
    <w:rsid w:val="00D00EE8"/>
    <w:rsid w:val="00D268F0"/>
    <w:rsid w:val="00D45993"/>
    <w:rsid w:val="00D631EC"/>
    <w:rsid w:val="00D6418E"/>
    <w:rsid w:val="00D938FD"/>
    <w:rsid w:val="00D94197"/>
    <w:rsid w:val="00DB45CB"/>
    <w:rsid w:val="00E3596A"/>
    <w:rsid w:val="00E5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1A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AB0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641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802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</dc:creator>
  <cp:lastModifiedBy>Mariane</cp:lastModifiedBy>
  <cp:revision>19</cp:revision>
  <dcterms:created xsi:type="dcterms:W3CDTF">2011-11-07T10:59:00Z</dcterms:created>
  <dcterms:modified xsi:type="dcterms:W3CDTF">2011-12-05T13:45:00Z</dcterms:modified>
</cp:coreProperties>
</file>