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1A2B4A"/>
          <w:sz w:val="56"/>
          <w:szCs w:val="56"/>
        </w:rPr>
        <w:t xml:space="preserve">UNLOCK</w:t>
      </w:r>
    </w:p>
    <w:p>
      <w:pPr>
        <w:spacing w:after="120" w:before="0"/>
      </w:pPr>
      <w:r>
        <w:rPr>
          <w:rFonts w:ascii="Arial" w:cs="Arial" w:eastAsia="Arial" w:hAnsi="Arial"/>
          <w:b w:val="false"/>
          <w:bCs w:val="false"/>
          <w:color w:val="2D6A4F"/>
          <w:sz w:val="36"/>
          <w:szCs w:val="36"/>
        </w:rPr>
        <w:t xml:space="preserve">Content Engine Intelligence Matrix</w:t>
      </w:r>
    </w:p>
    <w:p>
      <w:pPr>
        <w:spacing w:after="400" w:before="0"/>
      </w:pPr>
      <w:r>
        <w:rPr>
          <w:rFonts w:ascii="Arial" w:cs="Arial" w:eastAsia="Arial" w:hAnsi="Arial"/>
          <w:color w:val="666666"/>
          <w:sz w:val="22"/>
          <w:szCs w:val="22"/>
        </w:rPr>
        <w:t xml:space="preserve">Specification: Investor Intelligence Layers + Belief System</w:t>
      </w:r>
    </w:p>
    <w:p>
      <w:pPr>
        <w:pBdr>
          <w:bottom w:val="single" w:color="1A2B4A" w:sz="6" w:space="1"/>
        </w:pBdr>
        <w:spacing w:after="100" w:before="2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DF5" w:val="clear"/>
            <w:tcMar>
              <w:top w:type="dxa" w:w="120"/>
              <w:left w:type="dxa" w:w="200"/>
              <w:bottom w:type="dxa" w:w="120"/>
              <w:right w:type="dxa" w:w="200"/>
            </w:tcMar>
          </w:tcPr>
          <w:p>
            <w:pPr>
              <w:spacing w:after="60" w:before="0"/>
            </w:pPr>
            <w:r>
              <w:rPr>
                <w:rFonts w:ascii="Arial" w:cs="Arial" w:eastAsia="Arial" w:hAnsi="Arial"/>
                <w:b/>
                <w:bCs/>
                <w:color w:val="1A2B4A"/>
                <w:sz w:val="20"/>
                <w:szCs w:val="20"/>
              </w:rPr>
              <w:t xml:space="preserve">Status: Working Draft</w:t>
            </w:r>
          </w:p>
          <w:p>
            <w:pPr>
              <w:spacing w:after="0" w:before="0"/>
            </w:pPr>
            <w:r>
              <w:rPr>
                <w:rFonts w:ascii="Arial" w:cs="Arial" w:eastAsia="Arial" w:hAnsi="Arial"/>
                <w:color w:val="333333"/>
                <w:sz w:val="20"/>
                <w:szCs w:val="20"/>
              </w:rPr>
              <w:t xml:space="preserve">This document is intended to be reviewed by the content engine tool, external LLMs, and Tom before being treated as a confirmed build specification. The belief ladder in Section 3 is explicitly flagged as a hypothesis requiring validation against live call transcripts. Specific open questions are embedded throughout.</w:t>
            </w:r>
          </w:p>
        </w:tc>
      </w:tr>
    </w:tbl>
    <w:p>
      <w:pPr>
        <w:spacing w:before="200"/>
      </w:pPr>
    </w:p>
    <w:p>
      <w:pPr>
        <w:spacing w:after="60" w:before="60"/>
      </w:pPr>
      <w:r>
        <w:rPr>
          <w:rFonts w:ascii="Arial" w:cs="Arial" w:eastAsia="Arial" w:hAnsi="Arial"/>
          <w:color w:val="999999"/>
          <w:sz w:val="18"/>
          <w:szCs w:val="18"/>
        </w:rPr>
        <w:t xml:space="preserve">Version 1.0  |  April 2026  |  Unlock Services Limited</w:t>
      </w:r>
    </w:p>
    <w:p>
      <w:r>
        <w:br w:type="page"/>
      </w:r>
    </w:p>
    <w:p>
      <w:pPr>
        <w:pStyle w:val="Heading1"/>
        <w:spacing w:after="120" w:before="400"/>
      </w:pPr>
      <w:r>
        <w:rPr>
          <w:rFonts w:ascii="Arial" w:cs="Arial" w:eastAsia="Arial" w:hAnsi="Arial"/>
          <w:b/>
          <w:bCs/>
          <w:color w:val="1A2B4A"/>
          <w:sz w:val="32"/>
          <w:szCs w:val="32"/>
        </w:rPr>
        <w:t xml:space="preserve">1. Purpose</w:t>
      </w:r>
    </w:p>
    <w:p>
      <w:pPr>
        <w:spacing w:after="60" w:before="60"/>
      </w:pPr>
      <w:r>
        <w:rPr>
          <w:rFonts w:ascii="Arial" w:cs="Arial" w:eastAsia="Arial" w:hAnsi="Arial"/>
          <w:color w:val="333333"/>
          <w:sz w:val="20"/>
          <w:szCs w:val="20"/>
        </w:rPr>
        <w:t xml:space="preserve">The content engine recommends, generates, and routes investor-facing content. For it to do this reliably it needs a structured model of what it knows about each investor — and a clear mapping from that intelligence to content decisions.</w:t>
      </w:r>
    </w:p>
    <w:p>
      <w:pPr>
        <w:spacing w:before="80"/>
      </w:pPr>
    </w:p>
    <w:p>
      <w:pPr>
        <w:spacing w:after="60" w:before="60"/>
      </w:pPr>
      <w:r>
        <w:rPr>
          <w:rFonts w:ascii="Arial" w:cs="Arial" w:eastAsia="Arial" w:hAnsi="Arial"/>
          <w:color w:val="333333"/>
          <w:sz w:val="20"/>
          <w:szCs w:val="20"/>
        </w:rPr>
        <w:t xml:space="preserve">This document defines that model. It specifies:</w:t>
      </w:r>
    </w:p>
    <w:p>
      <w:pPr>
        <w:spacing w:before="40"/>
      </w:pPr>
    </w:p>
    <w:p>
      <w:pPr>
        <w:pStyle w:val="ListParagraph"/>
        <w:numPr>
          <w:ilvl w:val="0"/>
          <w:numId w:val="2"/>
        </w:numPr>
        <w:spacing w:after="40" w:before="40"/>
      </w:pPr>
      <w:r>
        <w:rPr>
          <w:rFonts w:ascii="Arial" w:cs="Arial" w:eastAsia="Arial" w:hAnsi="Arial"/>
          <w:color w:val="333333"/>
          <w:sz w:val="20"/>
          <w:szCs w:val="20"/>
        </w:rPr>
        <w:t xml:space="preserve">Five layers of investor intelligence and what each captures</w:t>
      </w:r>
    </w:p>
    <w:p>
      <w:pPr>
        <w:pStyle w:val="ListParagraph"/>
        <w:numPr>
          <w:ilvl w:val="0"/>
          <w:numId w:val="2"/>
        </w:numPr>
        <w:spacing w:after="40" w:before="40"/>
      </w:pPr>
      <w:r>
        <w:rPr>
          <w:rFonts w:ascii="Arial" w:cs="Arial" w:eastAsia="Arial" w:hAnsi="Arial"/>
          <w:color w:val="333333"/>
          <w:sz w:val="20"/>
          <w:szCs w:val="20"/>
        </w:rPr>
        <w:t xml:space="preserve">How those layers drive the content engine's decisions</w:t>
      </w:r>
    </w:p>
    <w:p>
      <w:pPr>
        <w:pStyle w:val="ListParagraph"/>
        <w:numPr>
          <w:ilvl w:val="0"/>
          <w:numId w:val="2"/>
        </w:numPr>
        <w:spacing w:after="40" w:before="40"/>
      </w:pPr>
      <w:r>
        <w:rPr>
          <w:rFonts w:ascii="Arial" w:cs="Arial" w:eastAsia="Arial" w:hAnsi="Arial"/>
          <w:color w:val="333333"/>
          <w:sz w:val="20"/>
          <w:szCs w:val="20"/>
        </w:rPr>
        <w:t xml:space="preserve">A belief state system (16 canonical beliefs) that powers granular routing</w:t>
      </w:r>
    </w:p>
    <w:p>
      <w:pPr>
        <w:pStyle w:val="ListParagraph"/>
        <w:numPr>
          <w:ilvl w:val="0"/>
          <w:numId w:val="2"/>
        </w:numPr>
        <w:spacing w:after="40" w:before="40"/>
      </w:pPr>
      <w:r>
        <w:rPr>
          <w:rFonts w:ascii="Arial" w:cs="Arial" w:eastAsia="Arial" w:hAnsi="Arial"/>
          <w:color w:val="333333"/>
          <w:sz w:val="20"/>
          <w:szCs w:val="20"/>
        </w:rPr>
        <w:t xml:space="preserve">A belief ladder (macro journey toward commitment) — proposed, needs validation</w:t>
      </w:r>
    </w:p>
    <w:p>
      <w:pPr>
        <w:pStyle w:val="ListParagraph"/>
        <w:numPr>
          <w:ilvl w:val="0"/>
          <w:numId w:val="2"/>
        </w:numPr>
        <w:spacing w:after="40" w:before="40"/>
      </w:pPr>
      <w:r>
        <w:rPr>
          <w:rFonts w:ascii="Arial" w:cs="Arial" w:eastAsia="Arial" w:hAnsi="Arial"/>
          <w:color w:val="333333"/>
          <w:sz w:val="20"/>
          <w:szCs w:val="20"/>
        </w:rPr>
        <w:t xml:space="preserve">The sequencing rules the engine must enforce architecturally</w:t>
      </w:r>
    </w:p>
    <w:p>
      <w:pPr>
        <w:pStyle w:val="ListParagraph"/>
        <w:numPr>
          <w:ilvl w:val="0"/>
          <w:numId w:val="2"/>
        </w:numPr>
        <w:spacing w:after="40" w:before="40"/>
      </w:pPr>
      <w:r>
        <w:rPr>
          <w:rFonts w:ascii="Arial" w:cs="Arial" w:eastAsia="Arial" w:hAnsi="Arial"/>
          <w:color w:val="333333"/>
          <w:sz w:val="20"/>
          <w:szCs w:val="20"/>
        </w:rPr>
        <w:t xml:space="preserve">The database schema and API structure required to build it</w:t>
      </w:r>
    </w:p>
    <w:p>
      <w:pPr>
        <w:spacing w:before="80"/>
      </w:pPr>
    </w:p>
    <w:p>
      <w:pPr>
        <w:spacing w:after="60" w:before="60"/>
      </w:pPr>
      <w:r>
        <w:rPr>
          <w:rFonts w:ascii="Arial" w:cs="Arial" w:eastAsia="Arial" w:hAnsi="Arial"/>
          <w:color w:val="333333"/>
          <w:sz w:val="20"/>
          <w:szCs w:val="20"/>
        </w:rPr>
        <w:t xml:space="preserve">This is not a content strategy document. It is an operating specification for the intelligence layer that sits between the investor and the content.</w:t>
      </w:r>
    </w:p>
    <w:p>
      <w:pPr>
        <w:pBdr>
          <w:bottom w:val="single" w:color="1A2B4A" w:sz="6" w:space="1"/>
        </w:pBdr>
        <w:spacing w:after="100" w:before="200"/>
      </w:pPr>
    </w:p>
    <w:p>
      <w:pPr>
        <w:pStyle w:val="Heading1"/>
        <w:spacing w:after="120" w:before="400"/>
      </w:pPr>
      <w:r>
        <w:rPr>
          <w:rFonts w:ascii="Arial" w:cs="Arial" w:eastAsia="Arial" w:hAnsi="Arial"/>
          <w:b/>
          <w:bCs/>
          <w:color w:val="1A2B4A"/>
          <w:sz w:val="32"/>
          <w:szCs w:val="32"/>
        </w:rPr>
        <w:t xml:space="preserve">2. The Five Intelligence Layers</w:t>
      </w:r>
    </w:p>
    <w:p>
      <w:pPr>
        <w:pStyle w:val="Heading2"/>
        <w:spacing w:after="80" w:before="280"/>
      </w:pPr>
      <w:r>
        <w:rPr>
          <w:rFonts w:ascii="Arial" w:cs="Arial" w:eastAsia="Arial" w:hAnsi="Arial"/>
          <w:b/>
          <w:bCs/>
          <w:color w:val="1A2B4A"/>
          <w:sz w:val="26"/>
          <w:szCs w:val="26"/>
        </w:rPr>
        <w:t xml:space="preserve">Overview</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48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Content engine use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1 — Qualification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Binary fit. Does this investor qualify at all.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Gate. Do not route to any content if fails.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2 — Profile</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Who they are. What they own. What they care about.</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Routes persona cluster, document type, angle.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3 — Problem &amp; Motivation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real reason. Hot button. SPIN signals.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Determines which belief gap to address first.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4 — Belief State</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What they already believe. What is absent. What is wrong.</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Selects the specific document that closes the next belief gap.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5 — Readiness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is in the way. Primary issue. Blocker type.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Routes to close, resolve, escalate, or nurture.</w:t>
            </w:r>
          </w:p>
        </w:tc>
      </w:tr>
    </w:tbl>
    <w:p>
      <w:pPr>
        <w:spacing w:before="200"/>
      </w:pPr>
    </w:p>
    <w:p>
      <w:pPr>
        <w:pStyle w:val="Heading2"/>
        <w:spacing w:after="80" w:before="280"/>
      </w:pPr>
      <w:r>
        <w:rPr>
          <w:rFonts w:ascii="Arial" w:cs="Arial" w:eastAsia="Arial" w:hAnsi="Arial"/>
          <w:b/>
          <w:bCs/>
          <w:color w:val="1A2B4A"/>
          <w:sz w:val="26"/>
          <w:szCs w:val="26"/>
        </w:rPr>
        <w:t xml:space="preserve">Layer 1 — Qualification</w:t>
      </w:r>
    </w:p>
    <w:p>
      <w:pPr>
        <w:spacing w:after="60" w:before="60"/>
      </w:pPr>
      <w:r>
        <w:rPr>
          <w:rFonts w:ascii="Arial" w:cs="Arial" w:eastAsia="Arial" w:hAnsi="Arial"/>
          <w:color w:val="333333"/>
          <w:sz w:val="20"/>
          <w:szCs w:val="20"/>
        </w:rPr>
        <w:t xml:space="preserve">Binary gate. The investor either qualifies or they do not. If they do not qualify, the content engine routes no documents and the lead is flagged for re-qualification or exit.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Gate logic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Income tax 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Higher or additional rate taxpayer. Basic rate — does not qualify for EIS income tax relief.</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Capital available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Minimum £40,000 to deploy. Below this — does not meet minimum ticket.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Decision autonomy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Self-directed or adviser-led with authority. No authority — adviser must be included in process.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Risk disposition (baseline)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Not assessed until U4 is established. See Layer 3 sequencing rule.</w:t>
            </w:r>
          </w:p>
        </w:tc>
      </w:tr>
    </w:tbl>
    <w:p>
      <w:pPr>
        <w:spacing w:before="80"/>
      </w:pPr>
    </w:p>
    <w:p>
      <w:pPr>
        <w:spacing w:after="60" w:before="60"/>
      </w:pPr>
      <w:r>
        <w:rPr>
          <w:rFonts w:ascii="Arial" w:cs="Arial" w:eastAsia="Arial" w:hAnsi="Arial"/>
          <w:b/>
          <w:bCs/>
          <w:color w:val="333333"/>
          <w:sz w:val="20"/>
          <w:szCs w:val="20"/>
        </w:rPr>
        <w:t xml:space="preserve">qualification_status field: QUALIFIED / DISQUALIFIED / INSUFFICIENT_DATA</w:t>
      </w:r>
    </w:p>
    <w:p>
      <w:pPr>
        <w:spacing w:before="200"/>
      </w:pPr>
    </w:p>
    <w:p>
      <w:pPr>
        <w:pStyle w:val="Heading2"/>
        <w:spacing w:after="80" w:before="280"/>
      </w:pPr>
      <w:r>
        <w:rPr>
          <w:rFonts w:ascii="Arial" w:cs="Arial" w:eastAsia="Arial" w:hAnsi="Arial"/>
          <w:b/>
          <w:bCs/>
          <w:color w:val="1A2B4A"/>
          <w:sz w:val="26"/>
          <w:szCs w:val="26"/>
        </w:rPr>
        <w:t xml:space="preserve">Layer 2 — Profile</w:t>
      </w:r>
    </w:p>
    <w:p>
      <w:pPr>
        <w:spacing w:after="60" w:before="60"/>
      </w:pPr>
      <w:r>
        <w:rPr>
          <w:rFonts w:ascii="Arial" w:cs="Arial" w:eastAsia="Arial" w:hAnsi="Arial"/>
          <w:color w:val="333333"/>
          <w:sz w:val="20"/>
          <w:szCs w:val="20"/>
        </w:rPr>
        <w:t xml:space="preserve">Builds the picture. No wrong answers — every answer routes. Layer 2 determines the persona cluster, document angle, and which product areas are relevant.</w:t>
      </w:r>
    </w:p>
    <w:p>
      <w:pPr>
        <w:spacing w:before="80"/>
      </w:pPr>
    </w:p>
    <w:p>
      <w:pPr>
        <w:spacing w:after="60" w:before="200"/>
      </w:pPr>
      <w:r>
        <w:rPr>
          <w:rFonts w:ascii="Arial" w:cs="Arial" w:eastAsia="Arial" w:hAnsi="Arial"/>
          <w:b/>
          <w:bCs/>
          <w:color w:val="2D6A4F"/>
          <w:sz w:val="22"/>
          <w:szCs w:val="22"/>
        </w:rPr>
        <w:t xml:space="preserve">2A — Persona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348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348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Primary content angle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Growth Builder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Seeks capital growth via direct EIS. Comfortable with early-stage risk. Motivated by upside and significance.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Asymmetric upside. Direct vs fund fee drag. Infrastructure 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Tax Optimiser</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Primary motivation is income tax relief. January 2027 urgency. May not have engaged with BPR or decumulation.</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38.5p effective exposure. January 2027 head start. Rolling EIS strategy.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IHT Warrior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Estate above £2M. April 2027 BPR reform is the trigger. EIS as a BPR replacement or complement.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Rolling EIS as BPR replacement. Two-year clock. Estate plan reset.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Needs Education First</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Unfamiliar with EIS/SEIS. Misconceptions present. Requires foundational beliefs before any pitch.</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Advice gap. EIS basics. Loss relief mechanics first, risk framing after.</w:t>
            </w:r>
          </w:p>
        </w:tc>
      </w:tr>
    </w:tbl>
    <w:p>
      <w:pPr>
        <w:spacing w:before="120"/>
      </w:pPr>
    </w:p>
    <w:p>
      <w:pPr>
        <w:spacing w:after="60" w:before="200"/>
      </w:pPr>
      <w:r>
        <w:rPr>
          <w:rFonts w:ascii="Arial" w:cs="Arial" w:eastAsia="Arial" w:hAnsi="Arial"/>
          <w:b/>
          <w:bCs/>
          <w:color w:val="2D6A4F"/>
          <w:sz w:val="22"/>
          <w:szCs w:val="22"/>
        </w:rPr>
        <w:t xml:space="preserve">2B — Profile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Content engine use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IFA or wealth manager involved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Routes to adviser briefing note. Changes conversation sequencing. Different objection set.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Already done EIS or SEIS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Suppresses basic education content. Routes to portfolio intelligence and Unlock Access angle.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Estate above £2M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Activates IHT content track. Routes to docs 170, 340.</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Assets abroad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Highlights asset register value proposition. Routes to portfolio complexity angle.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VCT or AIM experience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Uses April 6 rule change as relevant context. Routes to VCT comparison content.</w:t>
            </w:r>
          </w:p>
        </w:tc>
      </w:tr>
    </w:tbl>
    <w:p>
      <w:pPr>
        <w:spacing w:before="200"/>
      </w:pPr>
    </w:p>
    <w:p>
      <w:pPr>
        <w:pStyle w:val="Heading2"/>
        <w:spacing w:after="80" w:before="280"/>
      </w:pPr>
      <w:r>
        <w:rPr>
          <w:rFonts w:ascii="Arial" w:cs="Arial" w:eastAsia="Arial" w:hAnsi="Arial"/>
          <w:b/>
          <w:bCs/>
          <w:color w:val="1A2B4A"/>
          <w:sz w:val="26"/>
          <w:szCs w:val="26"/>
        </w:rPr>
        <w:t xml:space="preserve">Layer 3 — Problem &amp; Motivation</w:t>
      </w:r>
    </w:p>
    <w:p>
      <w:pPr>
        <w:spacing w:after="60" w:before="60"/>
      </w:pPr>
      <w:r>
        <w:rPr>
          <w:rFonts w:ascii="Arial" w:cs="Arial" w:eastAsia="Arial" w:hAnsi="Arial"/>
          <w:color w:val="333333"/>
          <w:sz w:val="20"/>
          <w:szCs w:val="20"/>
        </w:rPr>
        <w:t xml:space="preserve">Surfaces the real reason. SPIN-style. Layer 3 anchors every subsequent document to the investor's specific hot button.</w:t>
      </w:r>
    </w:p>
    <w:p>
      <w:pPr>
        <w:spacing w:before="80"/>
      </w:pPr>
    </w:p>
    <w:p>
      <w:pPr>
        <w:spacing w:after="60" w:before="200"/>
      </w:pPr>
      <w:r>
        <w:rPr>
          <w:rFonts w:ascii="Arial" w:cs="Arial" w:eastAsia="Arial" w:hAnsi="Arial"/>
          <w:b/>
          <w:bCs/>
          <w:color w:val="2D6A4F"/>
          <w:sz w:val="22"/>
          <w:szCs w:val="22"/>
        </w:rPr>
        <w:t xml:space="preserve">3A — Hot button taxonomy</w:t>
      </w:r>
    </w:p>
    <w:p>
      <w:pPr>
        <w:spacing w:after="80" w:before="80"/>
        <w:ind w:left="360"/>
      </w:pPr>
      <w:r>
        <w:rPr>
          <w:rFonts w:ascii="Arial" w:cs="Arial" w:eastAsia="Arial" w:hAnsi="Arial"/>
          <w:i/>
          <w:iCs/>
          <w:color w:val="666666"/>
          <w:sz w:val="18"/>
          <w:szCs w:val="18"/>
        </w:rPr>
        <w:t xml:space="preserve">&gt; These five hot buttons are proposed based on patterns observed in live call transcripts. Validate against a larger transcript sample before treating as canonical.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Hot button</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it sounds like on a call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Family security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 want to know my kids are going to be okay. I want to make sure they're taken care of whatever happens.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Freedom</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I want to be able to retire when I want, not when I can afford to. I want to say yes without checking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Legacy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I've spent my life building something. I want to pass it on — not hand half of it to HMRC.</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Relief</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I just want to stop feeling like I'm losing money every year and not doing anything about 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Significance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 want to back things that matter. Not just park money in funds.</w:t>
            </w:r>
          </w:p>
        </w:tc>
      </w:tr>
    </w:tbl>
    <w:p>
      <w:pPr>
        <w:spacing w:before="120"/>
      </w:pPr>
    </w:p>
    <w:p>
      <w:pPr>
        <w:spacing w:after="60" w:before="200"/>
      </w:pPr>
      <w:r>
        <w:rPr>
          <w:rFonts w:ascii="Arial" w:cs="Arial" w:eastAsia="Arial" w:hAnsi="Arial"/>
          <w:b/>
          <w:bCs/>
          <w:color w:val="2D6A4F"/>
          <w:sz w:val="22"/>
          <w:szCs w:val="22"/>
        </w:rPr>
        <w:t xml:space="preserve">3B — SPIN signal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SPIN type</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What the content engine detects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Situation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Current portfolio structure. What they own. How it is managed. Adviser involvement.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Problem</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What they would change if they could. What is not working. The gap they feel.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cost of not changing. What the problem is doing to their goals over time.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Need-Payoff</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moment they articulate the value of the solution in their own words. This is the anchor.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Critical sequencing rule — U4 before all risk discussion</w:t>
            </w:r>
          </w:p>
          <w:p>
            <w:pPr>
              <w:spacing w:after="0" w:before="0"/>
            </w:pPr>
            <w:r>
              <w:rPr>
                <w:rFonts w:ascii="Arial" w:cs="Arial" w:eastAsia="Arial" w:hAnsi="Arial"/>
                <w:color w:val="333333"/>
                <w:sz w:val="20"/>
                <w:szCs w:val="20"/>
              </w:rPr>
              <w:t xml:space="preserve">U4 (EIS Risk Is Manageable) must be established before any risk-appetite question is asked. An investor who says they are risk-averse before understanding that their maximum effective loss after all reliefs is approximately 38.5p per pound is answering the wrong question. The answer they give will be more limiting than the answer they would give after understanding the real number. This rule must be enforced architecturally by the engine — not relied on agent behaviour to maintain.</w:t>
            </w:r>
          </w:p>
        </w:tc>
      </w:tr>
    </w:tbl>
    <w:p>
      <w:pPr>
        <w:spacing w:before="200"/>
      </w:pPr>
    </w:p>
    <w:p>
      <w:pPr>
        <w:pStyle w:val="Heading2"/>
        <w:spacing w:after="80" w:before="280"/>
      </w:pPr>
      <w:r>
        <w:rPr>
          <w:rFonts w:ascii="Arial" w:cs="Arial" w:eastAsia="Arial" w:hAnsi="Arial"/>
          <w:b/>
          <w:bCs/>
          <w:color w:val="1A2B4A"/>
          <w:sz w:val="26"/>
          <w:szCs w:val="26"/>
        </w:rPr>
        <w:t xml:space="preserve">Layer 4 — Belief State</w:t>
      </w:r>
    </w:p>
    <w:p>
      <w:pPr>
        <w:spacing w:after="60" w:before="60"/>
      </w:pPr>
      <w:r>
        <w:rPr>
          <w:rFonts w:ascii="Arial" w:cs="Arial" w:eastAsia="Arial" w:hAnsi="Arial"/>
          <w:color w:val="333333"/>
          <w:sz w:val="20"/>
          <w:szCs w:val="20"/>
        </w:rPr>
        <w:t xml:space="preserve">The granular intelligence layer. 16 specific beliefs, per persona, each with a state and a gate. This is what drives document selection — the recommendation engine needs to know which specific belief is missing, not just where the investor is on the macro journey.</w:t>
      </w:r>
    </w:p>
    <w:p>
      <w:pPr>
        <w:spacing w:before="60"/>
      </w:pPr>
    </w:p>
    <w:p>
      <w:pPr>
        <w:spacing w:after="60" w:before="60"/>
      </w:pPr>
      <w:r>
        <w:rPr>
          <w:rFonts w:ascii="Arial" w:cs="Arial" w:eastAsia="Arial" w:hAnsi="Arial"/>
          <w:color w:val="333333"/>
          <w:sz w:val="20"/>
          <w:szCs w:val="20"/>
        </w:rPr>
        <w:t xml:space="preserve">Belief states: ESTABLISHED / ABSENT / MISCONCEPTION / BLOCKED_PENDING_LEGAL</w:t>
      </w:r>
    </w:p>
    <w:p>
      <w:pPr>
        <w:spacing w:before="60"/>
      </w:pPr>
    </w:p>
    <w:p>
      <w:pPr>
        <w:spacing w:after="60" w:before="60"/>
      </w:pPr>
      <w:r>
        <w:rPr>
          <w:rFonts w:ascii="Arial" w:cs="Arial" w:eastAsia="Arial" w:hAnsi="Arial"/>
          <w:color w:val="333333"/>
          <w:sz w:val="20"/>
          <w:szCs w:val="20"/>
        </w:rPr>
        <w:t xml:space="preserve">See Section 4 for the full belief state system.</w:t>
      </w:r>
    </w:p>
    <w:p>
      <w:pPr>
        <w:spacing w:before="200"/>
      </w:pPr>
    </w:p>
    <w:p>
      <w:pPr>
        <w:pStyle w:val="Heading2"/>
        <w:spacing w:after="80" w:before="280"/>
      </w:pPr>
      <w:r>
        <w:rPr>
          <w:rFonts w:ascii="Arial" w:cs="Arial" w:eastAsia="Arial" w:hAnsi="Arial"/>
          <w:b/>
          <w:bCs/>
          <w:color w:val="1A2B4A"/>
          <w:sz w:val="26"/>
          <w:szCs w:val="26"/>
        </w:rPr>
        <w:t xml:space="preserve">Layer 5 — Readiness</w:t>
      </w:r>
    </w:p>
    <w:p>
      <w:pPr>
        <w:spacing w:after="60" w:before="60"/>
      </w:pPr>
      <w:r>
        <w:rPr>
          <w:rFonts w:ascii="Arial" w:cs="Arial" w:eastAsia="Arial" w:hAnsi="Arial"/>
          <w:color w:val="333333"/>
          <w:sz w:val="20"/>
          <w:szCs w:val="20"/>
        </w:rPr>
        <w:t xml:space="preserve">What is in the way. Layer 5 determines the primary action: close, resolve an objection, fill an information gap, or continue nurturing.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Primary issue</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Content engine action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READY_TO_CLOSE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Route to Pack 1, Pack 2, and investment call scheduling.</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OBJECTION_TO_RESOLVE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Identify blocker type. If correctable misconception — route correction document immediately. If dispositional — longer nurture required.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INFORMATION_GAP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Identify which belief is absent. Route the document that establishes it.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NEEDS_NURTURING</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No specific gap or objection identified. Route warm content aligned to hot button. Return to full analysis on next interaction.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Blocker type</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CORRECTABLE_MISCONCEPTION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 single well-chosen document can shift this. The correction document is routed immediately before any other content.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DISPOSITIONAL</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investor will not change without extended evidence and relationship. Longer nurture. Different content cadence.</w:t>
            </w:r>
          </w:p>
        </w:tc>
      </w:tr>
    </w:tbl>
    <w:p>
      <w:r>
        <w:br w:type="page"/>
      </w:r>
    </w:p>
    <w:p>
      <w:pPr>
        <w:pStyle w:val="Heading1"/>
        <w:spacing w:after="120" w:before="400"/>
      </w:pPr>
      <w:r>
        <w:rPr>
          <w:rFonts w:ascii="Arial" w:cs="Arial" w:eastAsia="Arial" w:hAnsi="Arial"/>
          <w:b/>
          <w:bCs/>
          <w:color w:val="1A2B4A"/>
          <w:sz w:val="32"/>
          <w:szCs w:val="32"/>
        </w:rPr>
        <w:t xml:space="preserve">3. The Belief Ladder —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Review required — treat this as a hypothesis</w:t>
            </w:r>
          </w:p>
          <w:p>
            <w:pPr>
              <w:spacing w:after="0" w:before="0"/>
            </w:pPr>
            <w:r>
              <w:rPr>
                <w:rFonts w:ascii="Arial" w:cs="Arial" w:eastAsia="Arial" w:hAnsi="Arial"/>
                <w:color w:val="333333"/>
                <w:sz w:val="20"/>
                <w:szCs w:val="20"/>
              </w:rPr>
              <w:t xml:space="preserve">The belief ladder below maps the macro journey from first contact to founding round commitment. The ordering of steps B5 through B8 in particular should be treated as a hypothesis. It has not yet been validated against a sufficiently large transcript sample. Open questions for the content engine and LLM reviewers are listed at the end of this section.</w:t>
            </w:r>
          </w:p>
        </w:tc>
      </w:tr>
    </w:tbl>
    <w:p>
      <w:pPr>
        <w:spacing w:before="120"/>
      </w:pPr>
    </w:p>
    <w:p>
      <w:pPr>
        <w:spacing w:after="60" w:before="60"/>
      </w:pPr>
      <w:r>
        <w:rPr>
          <w:rFonts w:ascii="Arial" w:cs="Arial" w:eastAsia="Arial" w:hAnsi="Arial"/>
          <w:color w:val="333333"/>
          <w:sz w:val="20"/>
          <w:szCs w:val="20"/>
        </w:rPr>
        <w:t xml:space="preserve">The belief ladder is the macro frame. It tells you where the investor is in the journey. The belief state system (Section 4) tells you why they are stuck there and what to send next. They work together — the ladder for macro routing, the belief state system for micro routing.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360"/>
        <w:gridCol w:w="1500"/>
      </w:tblGrid>
      <w:tr>
        <w:trPr>
          <w:tblHeader/>
        </w:trPr>
        <w:tc>
          <w:tcPr>
            <w:tcW w:type="dxa" w:w="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5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Belief</w:t>
            </w:r>
          </w:p>
        </w:tc>
        <w:tc>
          <w:tcPr>
            <w:tcW w:type="dxa" w:w="43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Established when you hear...</w:t>
            </w:r>
          </w:p>
        </w:tc>
        <w:tc>
          <w:tcPr>
            <w:tcW w:type="dxa" w:w="15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problem is real and personal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I don't actually have a single view of everything I own. That is a problem.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B2</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B2</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EIS/SEIS is genuinely relevant to my situation</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This isn't a niche tax trick. It could materially change what I do with my income tax.</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advice I've been getting is structurally incomplete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My IFA can't advise on this. Not because they're not good — because they're not allowed to.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B4</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B4</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downside is manageable</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38.5p in the pound is the real number. I can live with that.</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B5</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Unlock specifically solves this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I can't do EIS properly without infrastructure. This is the infrastructure.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B6</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B6</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team can build it and the product is real</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Five investors are already using it. Features come from how they actually use it.</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B7</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B7</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market, timing, and business model are right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regulatory changes are creating exactly the demand Unlock is built for.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B8</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B8</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exit path is credible</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PitchBook, Bureau van Dijk, Refinitiv. There is a confirmed acquirer category for exactly this.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B9</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B9</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Now is the right time to invest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Two tax years open simultaneously. BPR clock starting now. Founding round terms won't be available at Growth Capital.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B10</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B10</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founding round makes sense on its own terms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Anti-dilution. Pro-rata. HMRC co-invests via EIS. The terms work even without the platform thesis.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Commit</w:t>
            </w:r>
          </w:p>
        </w:tc>
      </w:tr>
    </w:tbl>
    <w:p>
      <w:pPr>
        <w:spacing w:before="120"/>
      </w:pPr>
    </w:p>
    <w:p>
      <w:pPr>
        <w:spacing w:after="60" w:before="200"/>
      </w:pPr>
      <w:r>
        <w:rPr>
          <w:rFonts w:ascii="Arial" w:cs="Arial" w:eastAsia="Arial" w:hAnsi="Arial"/>
          <w:b/>
          <w:bCs/>
          <w:color w:val="2D6A4F"/>
          <w:sz w:val="22"/>
          <w:szCs w:val="22"/>
        </w:rPr>
        <w:t xml:space="preserve">Ladder to belief state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60"/>
        <w:gridCol w:w="2800"/>
      </w:tblGrid>
      <w:tr>
        <w:trPr>
          <w:tblHeader/>
        </w:trPr>
        <w:tc>
          <w:tcPr>
            <w:tcW w:type="dxa" w:w="10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Ladder step</w:t>
            </w:r>
          </w:p>
        </w:tc>
        <w:tc>
          <w:tcPr>
            <w:tcW w:type="dxa" w:w="20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Belief cluster (Section 4)</w:t>
            </w:r>
          </w:p>
        </w:tc>
        <w:tc>
          <w:tcPr>
            <w:tcW w:type="dxa" w:w="35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Primary documents</w:t>
            </w:r>
          </w:p>
        </w:tc>
        <w:tc>
          <w:tcPr>
            <w:tcW w:type="dxa" w:w="28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U2 — Hidden Correlation Risk</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350 — Iran Effect; asset register demo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U4 — EIS Risk Is Manageable</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150 — EIS Secret Weapon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U1 — The Practical Advice Gap</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330 — Advice Gap whitepaper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U4 — EIS Risk Is Manageable</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150 — EIS Secret Weapon; 160 — Case Studies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G3 / P3 / L2 — cluster-specific platform need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AI Investment Thesis; platform demo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Cluster determines angle</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B6</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Team + product beliefs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Pack 1 team section; founding investor proof points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Market, timing, business model beliefs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AI Investment Thesis; Pack 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B8</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Exit path beliefs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Pack 1 exit section; Pack 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P1 / L3 — January 2027; F0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196 — Post April 6 messaging; AI Investment Thesis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L3 BLOCKED pending legal</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B10</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F1 + F2 + F3 — founding round beliefs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Pack 1; Pack 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
            </w:r>
          </w:p>
        </w:tc>
      </w:tr>
    </w:tbl>
    <w:p>
      <w:pPr>
        <w:spacing w:before="120"/>
      </w:pPr>
    </w:p>
    <w:p>
      <w:pPr>
        <w:spacing w:after="60" w:before="200"/>
      </w:pPr>
      <w:r>
        <w:rPr>
          <w:rFonts w:ascii="Arial" w:cs="Arial" w:eastAsia="Arial" w:hAnsi="Arial"/>
          <w:b/>
          <w:bCs/>
          <w:color w:val="2D6A4F"/>
          <w:sz w:val="22"/>
          <w:szCs w:val="22"/>
        </w:rPr>
        <w:t xml:space="preserve">Open questions for review</w:t>
      </w:r>
    </w:p>
    <w:p>
      <w:pPr>
        <w:spacing w:after="80" w:before="80"/>
        <w:ind w:left="360"/>
      </w:pPr>
      <w:r>
        <w:rPr>
          <w:rFonts w:ascii="Arial" w:cs="Arial" w:eastAsia="Arial" w:hAnsi="Arial"/>
          <w:i/>
          <w:iCs/>
          <w:color w:val="666666"/>
          <w:sz w:val="18"/>
          <w:szCs w:val="18"/>
        </w:rPr>
        <w:t xml:space="preserve">&gt; 1. Is the ordering of B5–B8 correct? Does team credibility (B6) need to come before the platform pitch (B5) for some investor profiles?</w:t>
      </w:r>
    </w:p>
    <w:p>
      <w:pPr>
        <w:spacing w:after="80" w:before="80"/>
        <w:ind w:left="360"/>
      </w:pPr>
      <w:r>
        <w:rPr>
          <w:rFonts w:ascii="Arial" w:cs="Arial" w:eastAsia="Arial" w:hAnsi="Arial"/>
          <w:i/>
          <w:iCs/>
          <w:color w:val="666666"/>
          <w:sz w:val="18"/>
          <w:szCs w:val="18"/>
        </w:rPr>
        <w:t xml:space="preserve">&gt; 2. Is B1 always the entry point? Does it hold for investors already familiar with EIS who are evaluating Unlock specifically?</w:t>
      </w:r>
    </w:p>
    <w:p>
      <w:pPr>
        <w:spacing w:after="80" w:before="80"/>
        <w:ind w:left="360"/>
      </w:pPr>
      <w:r>
        <w:rPr>
          <w:rFonts w:ascii="Arial" w:cs="Arial" w:eastAsia="Arial" w:hAnsi="Arial"/>
          <w:i/>
          <w:iCs/>
          <w:color w:val="666666"/>
          <w:sz w:val="18"/>
          <w:szCs w:val="18"/>
        </w:rPr>
        <w:t xml:space="preserve">&gt; 3. Should B3 (advice gap) appear before B2 (EIS relevance) — i.e. does the structural gap in the advisory market need to be surfaced first to make EIS relevant?</w:t>
      </w:r>
    </w:p>
    <w:p>
      <w:pPr>
        <w:spacing w:after="80" w:before="80"/>
        <w:ind w:left="360"/>
      </w:pPr>
      <w:r>
        <w:rPr>
          <w:rFonts w:ascii="Arial" w:cs="Arial" w:eastAsia="Arial" w:hAnsi="Arial"/>
          <w:i/>
          <w:iCs/>
          <w:color w:val="666666"/>
          <w:sz w:val="18"/>
          <w:szCs w:val="18"/>
        </w:rPr>
        <w:t xml:space="preserve">&gt; 4. Are 10 steps the right granularity, or should some be merged (B1+B2, B9+B10)?</w:t>
      </w:r>
    </w:p>
    <w:p>
      <w:pPr>
        <w:spacing w:after="80" w:before="80"/>
        <w:ind w:left="360"/>
      </w:pPr>
      <w:r>
        <w:rPr>
          <w:rFonts w:ascii="Arial" w:cs="Arial" w:eastAsia="Arial" w:hAnsi="Arial"/>
          <w:i/>
          <w:iCs/>
          <w:color w:val="666666"/>
          <w:sz w:val="18"/>
          <w:szCs w:val="18"/>
        </w:rPr>
        <w:t xml:space="preserve">&gt; 5. Does the ladder differ materially by cluster, or is the sequence universal with only the content angle changing?</w:t>
      </w:r>
    </w:p>
    <w:p>
      <w:r>
        <w:br w:type="page"/>
      </w:r>
    </w:p>
    <w:p>
      <w:pPr>
        <w:pStyle w:val="Heading1"/>
        <w:spacing w:after="120" w:before="400"/>
      </w:pPr>
      <w:r>
        <w:rPr>
          <w:rFonts w:ascii="Arial" w:cs="Arial" w:eastAsia="Arial" w:hAnsi="Arial"/>
          <w:b/>
          <w:bCs/>
          <w:color w:val="1A2B4A"/>
          <w:sz w:val="32"/>
          <w:szCs w:val="32"/>
        </w:rPr>
        <w:t xml:space="preserve">4. The Belief State System — 16 Canonical Beliefs</w:t>
      </w:r>
    </w:p>
    <w:p>
      <w:pPr>
        <w:spacing w:after="60" w:before="60"/>
      </w:pPr>
      <w:r>
        <w:rPr>
          <w:rFonts w:ascii="Arial" w:cs="Arial" w:eastAsia="Arial" w:hAnsi="Arial"/>
          <w:color w:val="333333"/>
          <w:sz w:val="20"/>
          <w:szCs w:val="20"/>
        </w:rPr>
        <w:t xml:space="preserve">The belief state system is the granular intelligence layer. Each belief has a type and a gate: the belief must be established before the gated content or action can be recommended.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Belief type</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Correctable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investor holds a factually wrong belief or has a knowledge gap that a single well-chosen document can resolve. Detection: explicit misconception in transcript, confirmed wrong assumption, or direct question that reveals the gap.</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Developmental</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investor needs to build understanding over time through evidence, experience, or repeated exposure. A single document rarely establishes a developmental belief. Detection: partial signals indicating movement in the right direction.</w:t>
            </w:r>
          </w:p>
        </w:tc>
      </w:tr>
    </w:tbl>
    <w:p>
      <w:pPr>
        <w:spacing w:before="120"/>
      </w:pPr>
    </w:p>
    <w:p>
      <w:pPr>
        <w:pStyle w:val="Heading2"/>
        <w:spacing w:after="80" w:before="280"/>
      </w:pPr>
      <w:r>
        <w:rPr>
          <w:rFonts w:ascii="Arial" w:cs="Arial" w:eastAsia="Arial" w:hAnsi="Arial"/>
          <w:b/>
          <w:bCs/>
          <w:color w:val="1A2B4A"/>
          <w:sz w:val="26"/>
          <w:szCs w:val="26"/>
        </w:rPr>
        <w:t xml:space="preserve">4.1 Universal beliefs — every investor, every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60"/>
        <w:gridCol w:w="3800"/>
      </w:tblGrid>
      <w:tr>
        <w:trPr>
          <w:tblHeader/>
        </w:trPr>
        <w:tc>
          <w:tcPr>
            <w:tcW w:type="dxa" w:w="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2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5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Practical Advice Gap</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G3, any Unlock product claim</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U2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Hidden Correlation Risk</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P3, Iran Effect content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Structural Independence as the Moat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F0, any platform claim</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U4</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EIS Risk Is Manageable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Any risk-appetite question — HARD GATE</w:t>
            </w:r>
          </w:p>
        </w:tc>
      </w:tr>
    </w:tbl>
    <w:p>
      <w:pPr>
        <w:spacing w:before="120"/>
      </w:pPr>
    </w:p>
    <w:p>
      <w:pPr>
        <w:pStyle w:val="Heading2"/>
        <w:spacing w:after="80" w:before="280"/>
      </w:pPr>
      <w:r>
        <w:rPr>
          <w:rFonts w:ascii="Arial" w:cs="Arial" w:eastAsia="Arial" w:hAnsi="Arial"/>
          <w:b/>
          <w:bCs/>
          <w:color w:val="1A2B4A"/>
          <w:sz w:val="26"/>
          <w:szCs w:val="26"/>
        </w:rPr>
        <w:t xml:space="preserve">4.2 Growth Builder beliefs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60"/>
        <w:gridCol w:w="3800"/>
      </w:tblGrid>
      <w:tr>
        <w:trPr>
          <w:tblHeader/>
        </w:trPr>
        <w:tc>
          <w:tcPr>
            <w:tcW w:type="dxa" w:w="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2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5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G1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Asymmetric Upside in Early-Stage Tech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Growth Builder product pitch</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G2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Direct EIS vs Fund Fee Drag</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Platform subscription pitch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G3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Infrastructure Required for Direct EIS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Growth Builder pitch</w:t>
            </w:r>
          </w:p>
        </w:tc>
      </w:tr>
    </w:tbl>
    <w:p>
      <w:pPr>
        <w:spacing w:before="120"/>
      </w:pPr>
    </w:p>
    <w:p>
      <w:pPr>
        <w:pStyle w:val="Heading2"/>
        <w:spacing w:after="80" w:before="280"/>
      </w:pPr>
      <w:r>
        <w:rPr>
          <w:rFonts w:ascii="Arial" w:cs="Arial" w:eastAsia="Arial" w:hAnsi="Arial"/>
          <w:b/>
          <w:bCs/>
          <w:color w:val="1A2B4A"/>
          <w:sz w:val="26"/>
          <w:szCs w:val="26"/>
        </w:rPr>
        <w:t xml:space="preserve">4.3 Tax Optimiser beliefs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60"/>
        <w:gridCol w:w="3800"/>
      </w:tblGrid>
      <w:tr>
        <w:trPr>
          <w:tblHeader/>
        </w:trPr>
        <w:tc>
          <w:tcPr>
            <w:tcW w:type="dxa" w:w="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2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5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January 2027 Head Start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Any urgency framing — see note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P2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Reassessing Risk (38.5p not gross)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Risk conversation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Unlock More Valuable in a Correction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Platform value pitch</w:t>
            </w:r>
          </w:p>
        </w:tc>
      </w:tr>
    </w:tbl>
    <w:p>
      <w:pPr>
        <w:spacing w:before="80"/>
      </w:pPr>
    </w:p>
    <w:p>
      <w:pPr>
        <w:spacing w:after="80" w:before="80"/>
        <w:ind w:left="360"/>
      </w:pPr>
      <w:r>
        <w:rPr>
          <w:rFonts w:ascii="Arial" w:cs="Arial" w:eastAsia="Arial" w:hAnsi="Arial"/>
          <w:i/>
          <w:iCs/>
          <w:color w:val="666666"/>
          <w:sz w:val="18"/>
          <w:szCs w:val="18"/>
        </w:rPr>
        <w:t xml:space="preserve">&gt; P1 — The January 2027 / two-year structure content is pending legal sign-off. Do not include in generated content until confirmed. Policy status: BLOCKED_PENDING_LEGAL.</w:t>
      </w:r>
    </w:p>
    <w:p>
      <w:pPr>
        <w:spacing w:before="120"/>
      </w:pPr>
    </w:p>
    <w:p>
      <w:pPr>
        <w:pStyle w:val="Heading2"/>
        <w:spacing w:after="80" w:before="280"/>
      </w:pPr>
      <w:r>
        <w:rPr>
          <w:rFonts w:ascii="Arial" w:cs="Arial" w:eastAsia="Arial" w:hAnsi="Arial"/>
          <w:b/>
          <w:bCs/>
          <w:color w:val="1A2B4A"/>
          <w:sz w:val="26"/>
          <w:szCs w:val="26"/>
        </w:rPr>
        <w:t xml:space="preserve">4.4 IHT Warrior beliefs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60"/>
        <w:gridCol w:w="3800"/>
      </w:tblGrid>
      <w:tr>
        <w:trPr>
          <w:tblHeader/>
        </w:trPr>
        <w:tc>
          <w:tcPr>
            <w:tcW w:type="dxa" w:w="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2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5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L1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April 2027 Broke the Estate Plan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BPR/estate planning content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L2</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Rolling EIS as BPR Replacement</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Estate planning pitch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L3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Two-Year Window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January 2027 content — BLOCKED PENDING LEGAL</w:t>
            </w:r>
          </w:p>
        </w:tc>
      </w:tr>
    </w:tbl>
    <w:p>
      <w:pPr>
        <w:spacing w:before="80"/>
      </w:pPr>
    </w:p>
    <w:p>
      <w:pPr>
        <w:spacing w:after="80" w:before="80"/>
        <w:ind w:left="360"/>
      </w:pPr>
      <w:r>
        <w:rPr>
          <w:rFonts w:ascii="Arial" w:cs="Arial" w:eastAsia="Arial" w:hAnsi="Arial"/>
          <w:i/>
          <w:iCs/>
          <w:color w:val="666666"/>
          <w:sz w:val="18"/>
          <w:szCs w:val="18"/>
        </w:rPr>
        <w:t xml:space="preserve">&gt; L3 — BLOCKED_PENDING_LEGAL. Do not include in any generated content until sign-off received.</w:t>
      </w:r>
    </w:p>
    <w:p>
      <w:pPr>
        <w:spacing w:before="120"/>
      </w:pPr>
    </w:p>
    <w:p>
      <w:pPr>
        <w:pStyle w:val="Heading2"/>
        <w:spacing w:after="80" w:before="280"/>
      </w:pPr>
      <w:r>
        <w:rPr>
          <w:rFonts w:ascii="Arial" w:cs="Arial" w:eastAsia="Arial" w:hAnsi="Arial"/>
          <w:b/>
          <w:bCs/>
          <w:color w:val="1A2B4A"/>
          <w:sz w:val="26"/>
          <w:szCs w:val="26"/>
        </w:rPr>
        <w:t xml:space="preserve">4.5 Founding round beliefs — investor-specific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60"/>
        <w:gridCol w:w="3800"/>
      </w:tblGrid>
      <w:tr>
        <w:trPr>
          <w:tblHeader/>
        </w:trPr>
        <w:tc>
          <w:tcPr>
            <w:tcW w:type="dxa" w:w="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2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5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Gates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F0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Unlock Will Become Structurally Essential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F1, F2, F3 — must be established first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F1</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Founding Round Terms Are Attractive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Investment ask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F2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HMRC Co-Invests via EIS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Correctable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8"/>
                <w:szCs w:val="18"/>
              </w:rPr>
              <w:t xml:space="preserve">EIS investment mechanics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F3</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Exit Path Is Clear</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Developmental</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8"/>
                <w:szCs w:val="18"/>
              </w:rPr>
              <w:t xml:space="preserve">Investment commitment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DF5" w:val="clear"/>
            <w:tcMar>
              <w:top w:type="dxa" w:w="120"/>
              <w:left w:type="dxa" w:w="200"/>
              <w:bottom w:type="dxa" w:w="120"/>
              <w:right w:type="dxa" w:w="200"/>
            </w:tcMar>
          </w:tcPr>
          <w:p>
            <w:pPr>
              <w:spacing w:after="60" w:before="0"/>
            </w:pPr>
            <w:r>
              <w:rPr>
                <w:rFonts w:ascii="Arial" w:cs="Arial" w:eastAsia="Arial" w:hAnsi="Arial"/>
                <w:b/>
                <w:bCs/>
                <w:color w:val="1A2B4A"/>
                <w:sz w:val="20"/>
                <w:szCs w:val="20"/>
              </w:rPr>
              <w:t xml:space="preserve">F0 is the master gate</w:t>
            </w:r>
          </w:p>
          <w:p>
            <w:pPr>
              <w:spacing w:after="0" w:before="0"/>
            </w:pPr>
            <w:r>
              <w:rPr>
                <w:rFonts w:ascii="Arial" w:cs="Arial" w:eastAsia="Arial" w:hAnsi="Arial"/>
                <w:color w:val="333333"/>
                <w:sz w:val="20"/>
                <w:szCs w:val="20"/>
              </w:rPr>
              <w:t xml:space="preserve">F0 must be established before Pack 1 (the three-page Founding Investor Promo) can be recommended. An investor who receives Pack 1 before believing Unlock will become structurally essential will evaluate it as a standard investment document — not as an opportunity to get in before the market catches up. F0 is the difference between a pitch and an invitation.</w:t>
            </w:r>
          </w:p>
        </w:tc>
      </w:tr>
    </w:tbl>
    <w:p>
      <w:r>
        <w:br w:type="page"/>
      </w:r>
    </w:p>
    <w:p>
      <w:pPr>
        <w:pStyle w:val="Heading1"/>
        <w:spacing w:after="120" w:before="400"/>
      </w:pPr>
      <w:r>
        <w:rPr>
          <w:rFonts w:ascii="Arial" w:cs="Arial" w:eastAsia="Arial" w:hAnsi="Arial"/>
          <w:b/>
          <w:bCs/>
          <w:color w:val="1A2B4A"/>
          <w:sz w:val="32"/>
          <w:szCs w:val="32"/>
        </w:rPr>
        <w:t xml:space="preserve">5. Belief Sequencing Rules — Hard Gates</w:t>
      </w:r>
    </w:p>
    <w:p>
      <w:pPr>
        <w:spacing w:after="60" w:before="60"/>
      </w:pPr>
      <w:r>
        <w:rPr>
          <w:rFonts w:ascii="Arial" w:cs="Arial" w:eastAsia="Arial" w:hAnsi="Arial"/>
          <w:color w:val="333333"/>
          <w:sz w:val="20"/>
          <w:szCs w:val="20"/>
        </w:rPr>
        <w:t xml:space="preserve">These rules are enforced architecturally. The recommendation engine must respect them. They are not guidance — they are constraints.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U4 not ESTABLISHED → risk-appetite question cannot appear in call script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mechanics_explained flag must be TRUE before risk framing content is surfaced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F0 not ESTABLISHED → Pack 1 cannot be recommended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Pack 1 (doc 110) is blocked until F0 = ESTABLISHED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U4 not ESTABLISHED → G2, P2 cannot be recommended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Risk recalibration content requires the baseline mechanics to be in place first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U1 not ESTABLISHED → G3 cannot be recommended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infrastructure pitch only lands once the advice gap is understood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L3 policy_status = BLOCKED_PENDING_LEGAL → no L3 content in any output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Architectural block — not agent-discretion</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P1 policy_status = BLOCKED_PENDING_LEGAL → no January 2027 two-year framing</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Same block as L3</w:t>
            </w:r>
          </w:p>
        </w:tc>
      </w:tr>
    </w:tbl>
    <w:p>
      <w:pPr>
        <w:pBdr>
          <w:bottom w:val="single" w:color="1A2B4A" w:sz="6" w:space="1"/>
        </w:pBdr>
        <w:spacing w:after="100" w:before="200"/>
      </w:pPr>
    </w:p>
    <w:p>
      <w:pPr>
        <w:pStyle w:val="Heading1"/>
        <w:spacing w:after="120" w:before="400"/>
      </w:pPr>
      <w:r>
        <w:rPr>
          <w:rFonts w:ascii="Arial" w:cs="Arial" w:eastAsia="Arial" w:hAnsi="Arial"/>
          <w:b/>
          <w:bCs/>
          <w:color w:val="1A2B4A"/>
          <w:sz w:val="32"/>
          <w:szCs w:val="32"/>
        </w:rPr>
        <w:t xml:space="preserve">6. Common Misconceptions — Detection and Correction</w:t>
      </w:r>
    </w:p>
    <w:p>
      <w:pPr>
        <w:spacing w:after="60" w:before="60"/>
      </w:pPr>
      <w:r>
        <w:rPr>
          <w:rFonts w:ascii="Arial" w:cs="Arial" w:eastAsia="Arial" w:hAnsi="Arial"/>
          <w:color w:val="333333"/>
          <w:sz w:val="20"/>
          <w:szCs w:val="20"/>
        </w:rPr>
        <w:t xml:space="preserve">When detected, the correction document is routed immediately before any other content recommendation.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Misconception</w:t>
            </w:r>
          </w:p>
        </w:tc>
        <w:tc>
          <w:tcPr>
            <w:tcW w:type="dxa" w:w="348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Correct position</w:t>
            </w:r>
          </w:p>
        </w:tc>
        <w:tc>
          <w:tcPr>
            <w:tcW w:type="dxa" w:w="348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Correction document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EIS is too risky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Maximum effective exposure is approximately 38.5p per pound for additional rate taxpayers after all reliefs. HMRC covers the rest.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150 — EIS Secret Weapon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My IFA handles this</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IFAs are not permitted to advise on direct EIS companies. This is structural, not a gap in your adviser's knowledge.</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330 — Advice Gap whitepaper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 missed the April 6 deadline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April 6 opened a new tax year. Both 2025/26 and 2026/27 are simultaneously open. January 2027 is addressable now.</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196 — Post April 6 messaging</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EIS and VCTs are the same thing</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VCT income tax relief reduced to 20% from April 6 2026. EIS retained all benefits. Structurally different instruments.</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150 — EIS Secret Weapon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SEIS risk is approximately 22p per pound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Correct SEIS effective exposure is approximately 27.5p per pound for additional rate taxpayers. The 22p figure is wrong.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150 — EIS Secret Weapon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Returns are speculative</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4/3/2/1 portfolio model produces approximately 3.8x gross — 5-6x on effective cost — all CGT-free. Calibrated to published NESTA research.</w:t>
            </w:r>
          </w:p>
        </w:tc>
        <w:tc>
          <w:tcPr>
            <w:tcW w:type="dxa" w:w="3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160 — Five Case Studies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BPR applies to net investment cost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BPR applies to the gross portfolio value, not the net cost after reliefs. The £800,000 IHT saving applies to the gross amount outside the estate.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170 — IHT Planning</w:t>
            </w:r>
          </w:p>
        </w:tc>
      </w:tr>
    </w:tbl>
    <w:p>
      <w:r>
        <w:br w:type="page"/>
      </w:r>
    </w:p>
    <w:p>
      <w:pPr>
        <w:pStyle w:val="Heading1"/>
        <w:spacing w:after="120" w:before="400"/>
      </w:pPr>
      <w:r>
        <w:rPr>
          <w:rFonts w:ascii="Arial" w:cs="Arial" w:eastAsia="Arial" w:hAnsi="Arial"/>
          <w:b/>
          <w:bCs/>
          <w:color w:val="1A2B4A"/>
          <w:sz w:val="32"/>
          <w:szCs w:val="32"/>
        </w:rPr>
        <w:t xml:space="preserve">7. Database Schema</w:t>
      </w:r>
    </w:p>
    <w:p>
      <w:pPr>
        <w:pStyle w:val="Heading2"/>
        <w:spacing w:after="80" w:before="280"/>
      </w:pPr>
      <w:r>
        <w:rPr>
          <w:rFonts w:ascii="Arial" w:cs="Arial" w:eastAsia="Arial" w:hAnsi="Arial"/>
          <w:b/>
          <w:bCs/>
          <w:color w:val="1A2B4A"/>
          <w:sz w:val="26"/>
          <w:szCs w:val="26"/>
        </w:rPr>
        <w:t xml:space="preserve">7.1 leads table — required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qualification_status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ENUM: QUALIFIED / DISQUALIFIED / INSUFFICIENT_DATA</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cluster</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ENUM: Growth Builder / Tax Optimiser / IHT Warrior / Needs Education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hot_button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ENUM: Family / Freedom / Legacy / Relief / Significance / Unknown</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belief_state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JSONB: per-lead belief state (see 7.2)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mechanics_explained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BOOLEAN: has loss relief been explained before risk was discussed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risk_before_mechanics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BOOLEAN: compliance flag — blocks risk-framing content if TRUE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primary_issue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ENUM: READY_TO_CLOSE / OBJECTION_TO_RESOLVE / INFORMATION_GAP / NEEDS_NURTURING</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blocker_type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ENUM: DISPOSITIONAL / CORRECTABLE_MISCONCEPTION / NONE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ladder_position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ENUM: B1 through B10 — current hypothesis, to be validated</w:t>
            </w:r>
          </w:p>
        </w:tc>
      </w:tr>
    </w:tbl>
    <w:p>
      <w:pPr>
        <w:spacing w:before="120"/>
      </w:pPr>
    </w:p>
    <w:p>
      <w:pPr>
        <w:pStyle w:val="Heading2"/>
        <w:spacing w:after="80" w:before="280"/>
      </w:pPr>
      <w:r>
        <w:rPr>
          <w:rFonts w:ascii="Arial" w:cs="Arial" w:eastAsia="Arial" w:hAnsi="Arial"/>
          <w:b/>
          <w:bCs/>
          <w:color w:val="1A2B4A"/>
          <w:sz w:val="26"/>
          <w:szCs w:val="26"/>
        </w:rPr>
        <w:t xml:space="preserve">7.2 belief_state JSONB structure</w:t>
      </w:r>
    </w:p>
    <w:p>
      <w:pPr>
        <w:spacing w:after="60" w:before="60"/>
      </w:pPr>
      <w:r>
        <w:rPr>
          <w:rFonts w:ascii="Arial" w:cs="Arial" w:eastAsia="Arial" w:hAnsi="Arial"/>
          <w:color w:val="333333"/>
          <w:sz w:val="20"/>
          <w:szCs w:val="20"/>
        </w:rPr>
        <w:t xml:space="preserve">Each lead carries a belief_state object with an entry per canonical belief ID.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 per belief</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belief_id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U1, U2... F3</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status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ESTABLISHED / ABSENT / MISCONCEPTION / BLOCKED_PENDING_LEGAL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date_detected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ISO timestamp of last state change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call_id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call in which the state was last updated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detection_source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TRANSCRIPT / DOCUMENT_ENGAGEMENT / AGENT_ASSESSMENT</w:t>
            </w:r>
          </w:p>
        </w:tc>
      </w:tr>
    </w:tbl>
    <w:p>
      <w:pPr>
        <w:spacing w:before="80"/>
      </w:pPr>
    </w:p>
    <w:p>
      <w:pPr>
        <w:spacing w:after="60" w:before="60"/>
      </w:pPr>
      <w:r>
        <w:rPr>
          <w:rFonts w:ascii="Arial" w:cs="Arial" w:eastAsia="Arial" w:hAnsi="Arial"/>
          <w:color w:val="333333"/>
          <w:sz w:val="20"/>
          <w:szCs w:val="20"/>
        </w:rPr>
        <w:t xml:space="preserve">Belief state persists across calls and sessions. A belief established in call 1 suppresses the documents designed to establish it in call 2. The content engine reads persisted belief state before running transcript analysis. Transcript analysis updates the record. The two sources are merged, with the most recent signal taking precedence.</w:t>
      </w:r>
    </w:p>
    <w:p>
      <w:pPr>
        <w:spacing w:before="120"/>
      </w:pPr>
    </w:p>
    <w:p>
      <w:pPr>
        <w:pStyle w:val="Heading2"/>
        <w:spacing w:after="80" w:before="280"/>
      </w:pPr>
      <w:r>
        <w:rPr>
          <w:rFonts w:ascii="Arial" w:cs="Arial" w:eastAsia="Arial" w:hAnsi="Arial"/>
          <w:b/>
          <w:bCs/>
          <w:color w:val="1A2B4A"/>
          <w:sz w:val="26"/>
          <w:szCs w:val="26"/>
        </w:rPr>
        <w:t xml:space="preserve">7.3 belief_transitions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lead_id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Foreign key to leads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belief_id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Canonical belief ID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from_status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Prior status</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to_status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New status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transition_date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call_id</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Call that triggered the transition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trigger_document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Document ID that established the belief, if applicable</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agent_note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Free text — agent observation</w:t>
            </w:r>
          </w:p>
        </w:tc>
      </w:tr>
    </w:tbl>
    <w:p>
      <w:r>
        <w:br w:type="page"/>
      </w:r>
    </w:p>
    <w:p>
      <w:pPr>
        <w:pStyle w:val="Heading1"/>
        <w:spacing w:after="120" w:before="400"/>
      </w:pPr>
      <w:r>
        <w:rPr>
          <w:rFonts w:ascii="Arial" w:cs="Arial" w:eastAsia="Arial" w:hAnsi="Arial"/>
          <w:b/>
          <w:bCs/>
          <w:color w:val="1A2B4A"/>
          <w:sz w:val="32"/>
          <w:szCs w:val="32"/>
        </w:rPr>
        <w:t xml:space="preserve">8. API Requirements</w:t>
      </w:r>
    </w:p>
    <w:p>
      <w:pPr>
        <w:pStyle w:val="Heading2"/>
        <w:spacing w:after="80" w:before="280"/>
      </w:pPr>
      <w:r>
        <w:rPr>
          <w:rFonts w:ascii="Arial" w:cs="Arial" w:eastAsia="Arial" w:hAnsi="Arial"/>
          <w:b/>
          <w:bCs/>
          <w:color w:val="1A2B4A"/>
          <w:sz w:val="26"/>
          <w:szCs w:val="26"/>
        </w:rPr>
        <w:t xml:space="preserve">8.1 What the analyze endpoint must return</w:t>
      </w:r>
    </w:p>
    <w:p>
      <w:pPr>
        <w:spacing w:after="60" w:before="60"/>
      </w:pPr>
      <w:r>
        <w:rPr>
          <w:rFonts w:ascii="Arial" w:cs="Arial" w:eastAsia="Arial" w:hAnsi="Arial"/>
          <w:color w:val="333333"/>
          <w:sz w:val="20"/>
          <w:szCs w:val="20"/>
        </w:rPr>
        <w:t xml:space="preserve">The current analyze endpoint returns persona, stage, and basic signals. The following additions are required for the intelligence matrix to drive the content engine.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qualification_status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QUALIFIED / DISQUALIFIED / INSUFFICIENT_DATA</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cluster</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Growth Builder / Tax Optimiser / IHT Warrior / Needs Education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hot_button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Family / Freedom / Legacy / Relief / Significance / Unknown</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established_beliefs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Array of belief IDs detected as established in this conversation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absent_beliefs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Array of belief IDs with no signal either way</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misconceptions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Array of detected factual errors with the correct position and correction document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primary_belief_gap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single highest-priority belief to establish next</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blocker_type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DISPOSITIONAL / CORRECTABLE_MISCONCEPTION / NONE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mechanics_explained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Boolean — has loss relief been explained before risk was discussed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risk_before_mechanics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Boolean — compliance flag. TRUE blocks risk-framing content.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ladder_position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Estimated position on the belief ladder (B1–B10) — provisional</w:t>
            </w:r>
          </w:p>
        </w:tc>
      </w:tr>
    </w:tbl>
    <w:p>
      <w:pPr>
        <w:spacing w:before="120"/>
      </w:pPr>
    </w:p>
    <w:p>
      <w:pPr>
        <w:pStyle w:val="Heading2"/>
        <w:spacing w:after="80" w:before="280"/>
      </w:pPr>
      <w:r>
        <w:rPr>
          <w:rFonts w:ascii="Arial" w:cs="Arial" w:eastAsia="Arial" w:hAnsi="Arial"/>
          <w:b/>
          <w:bCs/>
          <w:color w:val="1A2B4A"/>
          <w:sz w:val="26"/>
          <w:szCs w:val="26"/>
        </w:rPr>
        <w:t xml:space="preserve">8.2 Recommendation engine gate checks</w:t>
      </w:r>
    </w:p>
    <w:p>
      <w:pPr>
        <w:spacing w:after="60" w:before="60"/>
      </w:pPr>
      <w:r>
        <w:rPr>
          <w:rFonts w:ascii="Arial" w:cs="Arial" w:eastAsia="Arial" w:hAnsi="Arial"/>
          <w:color w:val="333333"/>
          <w:sz w:val="20"/>
          <w:szCs w:val="20"/>
        </w:rPr>
        <w:t xml:space="preserve">Before surfacing any document recommendation, the engine must run these checks in order: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760"/>
            <w:tcBorders>
              <w:top w:val="single" w:color="CCCCCC" w:sz="4"/>
              <w:left w:val="single" w:color="CCCCCC" w:sz="4"/>
              <w:bottom w:val="single" w:color="CCCCCC" w:sz="4"/>
              <w:right w:val="single" w:color="CCCCCC" w:sz="4"/>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Block condition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Qualification gate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qualification_status = DISQUALIFIED → no content routed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U4 sequencing</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mechanics_explained = FALSE and document contains risk framing → blocked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F0 gate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F0 status = ABSENT or MISCONCEPTION and document = Pack 1 → blocked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Legal blocks</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belief_id in [L3, P1] and policy_status = BLOCKED_PENDING_LEGAL → blocked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Deduplication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Document already in lead send history → suppressed</w:t>
            </w:r>
          </w:p>
        </w:tc>
      </w:tr>
      <w:tr>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Compliance review state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333333"/>
                <w:sz w:val="19"/>
                <w:szCs w:val="19"/>
              </w:rPr>
              <w:t xml:space="preserve">Document review_state = REQUIRES_REVIEW → blocked</w:t>
            </w:r>
          </w:p>
        </w:tc>
      </w:tr>
    </w:tbl>
    <w:p>
      <w:pPr>
        <w:pBdr>
          <w:bottom w:val="single" w:color="1A2B4A" w:sz="6" w:space="1"/>
        </w:pBdr>
        <w:spacing w:after="100" w:before="200"/>
      </w:pPr>
    </w:p>
    <w:p>
      <w:pPr>
        <w:pStyle w:val="Heading1"/>
        <w:spacing w:after="120" w:before="400"/>
      </w:pPr>
      <w:r>
        <w:rPr>
          <w:rFonts w:ascii="Arial" w:cs="Arial" w:eastAsia="Arial" w:hAnsi="Arial"/>
          <w:b/>
          <w:bCs/>
          <w:color w:val="1A2B4A"/>
          <w:sz w:val="32"/>
          <w:szCs w:val="32"/>
        </w:rPr>
        <w:t xml:space="preserve">9. Open Questions for Review</w:t>
      </w:r>
    </w:p>
    <w:p>
      <w:pPr>
        <w:spacing w:after="80" w:before="80"/>
        <w:ind w:left="360"/>
      </w:pPr>
      <w:r>
        <w:rPr>
          <w:rFonts w:ascii="Arial" w:cs="Arial" w:eastAsia="Arial" w:hAnsi="Arial"/>
          <w:i/>
          <w:iCs/>
          <w:color w:val="666666"/>
          <w:sz w:val="18"/>
          <w:szCs w:val="18"/>
        </w:rPr>
        <w:t xml:space="preserve">&gt; 1. Hot button taxonomy — are five hot buttons the right set? Are there patterns in live transcripts not captured here?</w:t>
      </w:r>
    </w:p>
    <w:p>
      <w:pPr>
        <w:spacing w:after="80" w:before="80"/>
        <w:ind w:left="360"/>
      </w:pPr>
      <w:r>
        <w:rPr>
          <w:rFonts w:ascii="Arial" w:cs="Arial" w:eastAsia="Arial" w:hAnsi="Arial"/>
          <w:i/>
          <w:iCs/>
          <w:color w:val="666666"/>
          <w:sz w:val="18"/>
          <w:szCs w:val="18"/>
        </w:rPr>
        <w:t xml:space="preserve">&gt; 2. Belief count — are 16 beliefs the right granularity? Some may be too granular for the current build stage; others may need splitting.</w:t>
      </w:r>
    </w:p>
    <w:p>
      <w:pPr>
        <w:spacing w:after="80" w:before="80"/>
        <w:ind w:left="360"/>
      </w:pPr>
      <w:r>
        <w:rPr>
          <w:rFonts w:ascii="Arial" w:cs="Arial" w:eastAsia="Arial" w:hAnsi="Arial"/>
          <w:i/>
          <w:iCs/>
          <w:color w:val="666666"/>
          <w:sz w:val="18"/>
          <w:szCs w:val="18"/>
        </w:rPr>
        <w:t xml:space="preserve">&gt; 3. Detection confidence thresholds — at what confidence level should a transcript-detected belief update the persisted state? HIGH only, or MEDIUM and above?</w:t>
      </w:r>
    </w:p>
    <w:p>
      <w:pPr>
        <w:spacing w:after="80" w:before="80"/>
        <w:ind w:left="360"/>
      </w:pPr>
      <w:r>
        <w:rPr>
          <w:rFonts w:ascii="Arial" w:cs="Arial" w:eastAsia="Arial" w:hAnsi="Arial"/>
          <w:i/>
          <w:iCs/>
          <w:color w:val="666666"/>
          <w:sz w:val="18"/>
          <w:szCs w:val="18"/>
        </w:rPr>
        <w:t xml:space="preserve">&gt; 4. Agent override policy — if an agent manually marks a belief as ESTABLISHED but transcript analysis returns ABSENT, which takes precedence?</w:t>
      </w:r>
    </w:p>
    <w:p>
      <w:pPr>
        <w:spacing w:after="80" w:before="80"/>
        <w:ind w:left="360"/>
      </w:pPr>
      <w:r>
        <w:rPr>
          <w:rFonts w:ascii="Arial" w:cs="Arial" w:eastAsia="Arial" w:hAnsi="Arial"/>
          <w:i/>
          <w:iCs/>
          <w:color w:val="666666"/>
          <w:sz w:val="18"/>
          <w:szCs w:val="18"/>
        </w:rPr>
        <w:t xml:space="preserve">&gt; 5. F0 gate threshold — does F0 need to be fully ESTABLISHED before Pack 1, or is PARTIAL sufficient? This affects when the investment conversation can begin.</w:t>
      </w:r>
    </w:p>
    <w:p>
      <w:pPr>
        <w:spacing w:after="80" w:before="80"/>
        <w:ind w:left="360"/>
      </w:pPr>
      <w:r>
        <w:rPr>
          <w:rFonts w:ascii="Arial" w:cs="Arial" w:eastAsia="Arial" w:hAnsi="Arial"/>
          <w:i/>
          <w:iCs/>
          <w:color w:val="666666"/>
          <w:sz w:val="18"/>
          <w:szCs w:val="18"/>
        </w:rPr>
        <w:t xml:space="preserve">&gt; 6. Belief ladder sequence — see Section 3 open questions. The ordering of B5–B8 in particular needs transcript validation.</w:t>
      </w:r>
    </w:p>
    <w:p>
      <w:pPr>
        <w:spacing w:after="80" w:before="80"/>
        <w:ind w:left="360"/>
      </w:pPr>
      <w:r>
        <w:rPr>
          <w:rFonts w:ascii="Arial" w:cs="Arial" w:eastAsia="Arial" w:hAnsi="Arial"/>
          <w:i/>
          <w:iCs/>
          <w:color w:val="666666"/>
          <w:sz w:val="18"/>
          <w:szCs w:val="18"/>
        </w:rPr>
        <w:t xml:space="preserve">&gt; 7. Cluster for investors with mixed motivations — an investor with high income tax AND an estate above £2M. How is the primary cluster determined? Does the content engine run both tracks in parallel?</w:t>
      </w:r>
    </w:p>
    <w:p>
      <w:pPr>
        <w:pBdr>
          <w:bottom w:val="single" w:color="1A2B4A" w:sz="6" w:space="1"/>
        </w:pBdr>
        <w:spacing w:after="100" w:before="200"/>
      </w:pPr>
    </w:p>
    <w:p>
      <w:pPr>
        <w:pStyle w:val="Heading1"/>
        <w:spacing w:after="120" w:before="400"/>
      </w:pPr>
      <w:r>
        <w:rPr>
          <w:rFonts w:ascii="Arial" w:cs="Arial" w:eastAsia="Arial" w:hAnsi="Arial"/>
          <w:b/>
          <w:bCs/>
          <w:color w:val="1A2B4A"/>
          <w:sz w:val="32"/>
          <w:szCs w:val="32"/>
        </w:rPr>
        <w:t xml:space="preserve">10. The Single Most Important Rule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U4 must be ESTABLISHED before any risk-appetite question is asked</w:t>
            </w:r>
          </w:p>
          <w:p>
            <w:pPr>
              <w:spacing w:after="0" w:before="0"/>
            </w:pPr>
            <w:r>
              <w:rPr>
                <w:rFonts w:ascii="Arial" w:cs="Arial" w:eastAsia="Arial" w:hAnsi="Arial"/>
                <w:color w:val="333333"/>
                <w:sz w:val="20"/>
                <w:szCs w:val="20"/>
              </w:rPr>
              <w:t xml:space="preserve">An investor who says they are risk-averse before understanding that their maximum effective loss after all reliefs is approximately 38.5p per pound is answering the wrong question. The answer they give will be different — and more limiting — than the answer they would give after understanding the real number.
This is not a preference. It is a compliance enforcement constraint the tool must enforce architecturally, not rely on agent behaviour to maintain. The QC engine blocks any document containing risk framing if mechanics_explained is false for this lead.</w:t>
            </w:r>
          </w:p>
        </w:tc>
      </w:tr>
    </w:tbl>
    <w:p>
      <w:pPr>
        <w:spacing w:before="200"/>
      </w:pPr>
    </w:p>
    <w:p>
      <w:pPr>
        <w:spacing w:after="60" w:before="60"/>
      </w:pPr>
      <w:r>
        <w:rPr>
          <w:rFonts w:ascii="Arial" w:cs="Arial" w:eastAsia="Arial" w:hAnsi="Arial"/>
          <w:color w:val="999999"/>
          <w:sz w:val="18"/>
          <w:szCs w:val="18"/>
        </w:rPr>
        <w:t xml:space="preserve">Unlock Services Limited  |  Internal Working Document  |  Version 1.0  |  April 2026</w:t>
      </w:r>
    </w:p>
    <w:p>
      <w:pPr>
        <w:spacing w:after="60" w:before="60"/>
      </w:pPr>
      <w:r>
        <w:rPr>
          <w:rFonts w:ascii="Arial" w:cs="Arial" w:eastAsia="Arial" w:hAnsi="Arial"/>
          <w:color w:val="999999"/>
          <w:sz w:val="18"/>
          <w:szCs w:val="18"/>
        </w:rPr>
        <w:t xml:space="preserve">Not for distribution to investors or third parties.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999999"/>
        <w:sz w:val="16"/>
        <w:szCs w:val="16"/>
      </w:rPr>
      <w:t xml:space="preserve">Not for distribution to investors or third parties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pPr>
    <w:r>
      <w:rPr>
        <w:rFonts w:ascii="Arial" w:cs="Arial" w:eastAsia="Arial" w:hAnsi="Arial"/>
        <w:color w:val="666666"/>
        <w:sz w:val="16"/>
        <w:szCs w:val="16"/>
      </w:rPr>
      <w:t xml:space="preserve">UNLOCK — Content Engine Intelligence Matrix</w:t>
    </w:r>
    <w:r>
      <w:rPr>
        <w:rFonts w:ascii="Arial" w:cs="Arial" w:eastAsia="Arial" w:hAnsi="Arial"/>
        <w:color w:val="999999"/>
        <w:sz w:val="16"/>
        <w:szCs w:val="16"/>
      </w:rPr>
      <w:t xml:space="preserve">   |   Internal Working Document   |   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2B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2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2026-04-06T22:34:11.636Z</dcterms:created>
  <dcterms:modified xsi:type="dcterms:W3CDTF">2026-04-06T22:34:11.675Z</dcterms:modified>
</cp:coreProperties>
</file>

<file path=docProps/custom.xml><?xml version="1.0" encoding="utf-8"?>
<Properties xmlns="http://schemas.openxmlformats.org/officeDocument/2006/custom-properties" xmlns:vt="http://schemas.openxmlformats.org/officeDocument/2006/docPropsVTypes"/>
</file>