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before="0"/>
        <w:jc w:val="both"/>
      </w:pPr>
      <w:r>
        <w:rPr>
          <w:rFonts w:ascii="Arial" w:cs="Arial" w:eastAsia="Arial" w:hAnsi="Arial"/>
          <w:b w:val="false"/>
          <w:bCs w:val="false"/>
          <w:i w:val="false"/>
          <w:iCs w:val="false"/>
          <w:color w:val="1A1A1A"/>
          <w:sz w:val="20"/>
          <w:szCs w:val="20"/>
        </w:rPr>
        <w:t xml:space="preserve"/>
      </w:r>
    </w:p>
    <w:p>
      <w:pPr>
        <w:spacing w:after="480" w:before="0"/>
        <w:jc w:val="center"/>
      </w:pPr>
      <w:r>
        <w:drawing>
          <wp:inline distT="0" distB="0" distL="0" distR="0">
            <wp:extent cx="3429000" cy="914400"/>
            <wp:effectExtent t="0" r="0" b="0" l="0"/>
            <wp:docPr id="1" name="logodark" descr="Unlock wordmark" title="Unlock word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914400"/>
                    </a:xfrm>
                    <a:prstGeom prst="rect">
                      <a:avLst/>
                    </a:prstGeom>
                  </pic:spPr>
                </pic:pic>
              </a:graphicData>
            </a:graphic>
          </wp:inline>
        </w:drawing>
      </w:r>
    </w:p>
    <w:p>
      <w:pPr>
        <w:spacing w:after="120" w:before="0"/>
        <w:jc w:val="center"/>
      </w:pPr>
      <w:r>
        <w:rPr>
          <w:rFonts w:ascii="Arial" w:cs="Arial" w:eastAsia="Arial" w:hAnsi="Arial"/>
          <w:b w:val="false"/>
          <w:bCs w:val="false"/>
          <w:i w:val="false"/>
          <w:iCs w:val="false"/>
          <w:color w:val="1A1A1A"/>
          <w:sz w:val="44"/>
          <w:szCs w:val="44"/>
        </w:rPr>
        <w:t xml:space="preserve">Design Bible</w:t>
      </w:r>
    </w:p>
    <w:p>
      <w:pPr>
        <w:spacing w:after="240" w:before="0"/>
        <w:jc w:val="center"/>
      </w:pPr>
      <w:r>
        <w:rPr>
          <w:rFonts w:ascii="Arial" w:cs="Arial" w:eastAsia="Arial" w:hAnsi="Arial"/>
          <w:b w:val="false"/>
          <w:bCs w:val="false"/>
          <w:i w:val="false"/>
          <w:iCs w:val="false"/>
          <w:color w:val="008655"/>
          <w:sz w:val="24"/>
          <w:szCs w:val="24"/>
        </w:rPr>
        <w:t xml:space="preserve">How We Identify, Express and Communicate the Unlock Brand</w:t>
      </w:r>
    </w:p>
    <w:p>
      <w:pPr>
        <w:spacing w:after="80" w:before="0"/>
        <w:jc w:val="center"/>
      </w:pPr>
      <w:r>
        <w:rPr>
          <w:rFonts w:ascii="Arial" w:cs="Arial" w:eastAsia="Arial" w:hAnsi="Arial"/>
          <w:b w:val="false"/>
          <w:bCs w:val="false"/>
          <w:i w:val="false"/>
          <w:iCs w:val="false"/>
          <w:color w:val="888888"/>
          <w:sz w:val="20"/>
          <w:szCs w:val="20"/>
        </w:rPr>
        <w:t xml:space="preserve">Version 0.2 — April 2026</w:t>
      </w:r>
    </w:p>
    <w:p>
      <w:pPr>
        <w:spacing w:after="160" w:before="0" w:line="288" w:lineRule="auto"/>
        <w:jc w:val="center"/>
      </w:pPr>
      <w:r>
        <w:rPr>
          <w:rFonts w:ascii="Arial" w:cs="Arial" w:eastAsia="Arial" w:hAnsi="Arial"/>
          <w:b w:val="false"/>
          <w:bCs w:val="false"/>
          <w:i/>
          <w:iCs/>
          <w:color w:val="888888"/>
          <w:sz w:val="18"/>
          <w:szCs w:val="18"/>
        </w:rPr>
        <w:t xml:space="preserve">Private &amp; Confidential</w:t>
      </w:r>
    </w:p>
    <w:p>
      <w:pPr>
        <w:spacing w:after="0" w:before="0"/>
        <w:jc w:val="both"/>
      </w:pPr>
      <w:r>
        <w:br w:type="page"/>
      </w:r>
    </w:p>
    <w:p>
      <w:pPr>
        <w:sectPr>
          <w:pgSz w:w="11906" w:h="16838" w:orient="portrait"/>
          <w:pgMar w:top="1587" w:right="1587" w:bottom="1587" w:left="1587" w:header="708" w:footer="708" w:gutter="0"/>
          <w:pgNumType/>
          <w:docGrid w:linePitch="360"/>
        </w:sectPr>
      </w:pPr>
    </w:p>
    <w:p>
      <w:pPr>
        <w:pStyle w:val="Heading1"/>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About This Document</w:t>
      </w:r>
    </w:p>
    <w:p>
      <w:pPr>
        <w:spacing w:after="160" w:before="0" w:line="288" w:lineRule="auto"/>
        <w:jc w:val="both"/>
      </w:pPr>
      <w:r>
        <w:rPr>
          <w:rFonts w:ascii="Arial" w:cs="Arial" w:eastAsia="Arial" w:hAnsi="Arial"/>
          <w:b w:val="false"/>
          <w:bCs w:val="false"/>
          <w:i w:val="false"/>
          <w:iCs w:val="false"/>
          <w:color w:val="1A1A1A"/>
          <w:sz w:val="20"/>
          <w:szCs w:val="20"/>
        </w:rPr>
        <w:t xml:space="preserve">This is the single source of truth for every external-facing document Unlock produces. It has been derived by systematic visual analysis of all project documents — the Investment Opportunity deck, Access Framework, Case for EIS 2026, EIS Factsheet, Decumulation Planner, Play to Win Workshop, and The Opportunity brief — cross-referenced against pixel-level analysis of the logo asset files.</w:t>
      </w:r>
    </w:p>
    <w:p>
      <w:pPr>
        <w:spacing w:after="160" w:before="0" w:line="288" w:lineRule="auto"/>
        <w:jc w:val="both"/>
      </w:pPr>
      <w:r>
        <w:rPr>
          <w:rFonts w:ascii="Arial" w:cs="Arial" w:eastAsia="Arial" w:hAnsi="Arial"/>
          <w:b w:val="false"/>
          <w:bCs w:val="false"/>
          <w:i w:val="false"/>
          <w:iCs w:val="false"/>
          <w:color w:val="1A1A1A"/>
          <w:sz w:val="20"/>
          <w:szCs w:val="20"/>
        </w:rPr>
        <w:t xml:space="preserve">Version 0.2 resolves all items previously marked as unknown. Exact hex values have been confirmed from logo pixel analysis. Contrast ratios have been calculated. All decisions listed in Part 12 (Open Items) are confirmed in principle and require only the implementation steps noted.</w:t>
      </w:r>
    </w:p>
    <w:p>
      <w:pPr>
        <w:pBdr>
          <w:top w:val="single" w:color="01BC77" w:sz="10" w:space="8"/>
        </w:pBdr>
        <w:spacing w:after="40" w:before="160"/>
        <w:jc w:val="left"/>
      </w:pPr>
      <w:r>
        <w:rPr>
          <w:rFonts w:ascii="Arial" w:cs="Arial" w:eastAsia="Arial" w:hAnsi="Arial"/>
          <w:b/>
          <w:bCs/>
          <w:i/>
          <w:iCs/>
          <w:color w:val="008655"/>
          <w:sz w:val="18"/>
          <w:szCs w:val="18"/>
        </w:rPr>
        <w:t xml:space="preserve">Confidence levels:</w:t>
      </w:r>
    </w:p>
    <w:p>
      <w:pPr>
        <w:pBdr>
          <w:bottom w:val="single" w:color="01BC77" w:sz="10" w:space="8"/>
        </w:pBdr>
        <w:spacing w:after="160" w:before="0"/>
        <w:ind w:left="360"/>
        <w:jc w:val="both"/>
      </w:pPr>
      <w:r>
        <w:rPr>
          <w:rFonts w:ascii="Arial" w:cs="Arial" w:eastAsia="Arial" w:hAnsi="Arial"/>
          <w:b w:val="false"/>
          <w:bCs w:val="false"/>
          <w:i w:val="false"/>
          <w:iCs w:val="false"/>
          <w:color w:val="1A1A1A"/>
          <w:sz w:val="18"/>
          <w:szCs w:val="18"/>
        </w:rPr>
        <w:t xml:space="preserve">Rules in this document have been confirmed from evidence across multiple documents. Two items remain pending implementation rather than decision: exact font names (verify from source Figma/Illustrator files) and logo file transparency (re-export as transparent PNGs).</w:t>
      </w:r>
    </w:p>
    <w:p>
      <w:pPr>
        <w:spacing w:after="80" w:before="0"/>
        <w:jc w:val="both"/>
      </w:pPr>
      <w:r>
        <w:rPr>
          <w:rFonts w:ascii="Arial" w:cs="Arial" w:eastAsia="Arial" w:hAnsi="Arial"/>
          <w:b w:val="false"/>
          <w:bCs w:val="false"/>
          <w:i w:val="false"/>
          <w:iCs w:val="false"/>
          <w:color w:val="1A1A1A"/>
          <w:sz w:val="20"/>
          <w:szCs w:val="20"/>
        </w:rPr>
        <w:t xml:space="preserve"/>
      </w:r>
    </w:p>
    <w:p>
      <w:pPr>
        <w:spacing w:after="0" w:before="0"/>
        <w:jc w:val="both"/>
      </w:pPr>
      <w:r>
        <w:br w:type="page"/>
      </w:r>
    </w:p>
    <w:p>
      <w:pPr>
        <w:pStyle w:val="Heading1"/>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1: Brand Foundation</w:t>
      </w:r>
    </w:p>
    <w:p>
      <w:pPr>
        <w:pStyle w:val="Heading2"/>
        <w:spacing w:after="80" w:before="320" w:line="288" w:lineRule="auto"/>
        <w:jc w:val="left"/>
      </w:pPr>
      <w:r>
        <w:rPr>
          <w:rFonts w:ascii="Arial" w:cs="Arial" w:eastAsia="Arial" w:hAnsi="Arial"/>
          <w:b/>
          <w:bCs/>
          <w:i w:val="false"/>
          <w:iCs w:val="false"/>
          <w:color w:val="1A1A1A"/>
          <w:sz w:val="28"/>
          <w:szCs w:val="28"/>
        </w:rPr>
        <w:t xml:space="preserve">Brand Essence</w:t>
      </w:r>
    </w:p>
    <w:p>
      <w:pPr>
        <w:spacing w:after="240" w:before="120"/>
        <w:jc w:val="center"/>
      </w:pPr>
      <w:r>
        <w:rPr>
          <w:rFonts w:ascii="Arial" w:cs="Arial" w:eastAsia="Arial" w:hAnsi="Arial"/>
          <w:b/>
          <w:bCs/>
          <w:i/>
          <w:iCs/>
          <w:color w:val="1A1A1A"/>
          <w:sz w:val="22"/>
          <w:szCs w:val="22"/>
        </w:rPr>
        <w:t xml:space="preserve">“Private wealth clarity, without complexity.”</w:t>
      </w:r>
    </w:p>
    <w:p>
      <w:pPr>
        <w:spacing w:after="160" w:before="0" w:line="288" w:lineRule="auto"/>
        <w:jc w:val="both"/>
      </w:pPr>
      <w:r>
        <w:rPr>
          <w:rFonts w:ascii="Arial" w:cs="Arial" w:eastAsia="Arial" w:hAnsi="Arial"/>
          <w:b w:val="false"/>
          <w:bCs w:val="false"/>
          <w:i w:val="false"/>
          <w:iCs w:val="false"/>
          <w:color w:val="1A1A1A"/>
          <w:sz w:val="20"/>
          <w:szCs w:val="20"/>
        </w:rPr>
        <w:t xml:space="preserve">Unlock gives private investors a complete, accurate picture of everything they own and everything they owe — across every platform, wrapper, and asset class. The design philosophy follows from this: nothing decorative, nothing ambiguous, everything in its place.</w:t>
      </w:r>
    </w:p>
    <w:p>
      <w:pPr>
        <w:spacing w:after="12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Core Design Principles</w:t>
      </w:r>
    </w:p>
    <w:p>
      <w:pPr>
        <w:spacing w:after="120" w:before="0" w:line="288" w:lineRule="auto"/>
        <w:jc w:val="left"/>
      </w:pPr>
      <w:r>
        <w:rPr>
          <w:rFonts w:ascii="Arial" w:cs="Arial" w:eastAsia="Arial" w:hAnsi="Arial"/>
          <w:b w:val="false"/>
          <w:bCs w:val="false"/>
          <w:i w:val="false"/>
          <w:iCs w:val="false"/>
          <w:color w:val="1A1A1A"/>
          <w:sz w:val="20"/>
          <w:szCs w:val="20"/>
        </w:rPr>
        <w:t xml:space="preserve">1.  Truth first — The register is the foundation. Design serves the data, not the other way around.</w:t>
      </w:r>
    </w:p>
    <w:p>
      <w:pPr>
        <w:spacing w:after="120" w:before="0" w:line="288" w:lineRule="auto"/>
        <w:jc w:val="left"/>
      </w:pPr>
      <w:r>
        <w:rPr>
          <w:rFonts w:ascii="Arial" w:cs="Arial" w:eastAsia="Arial" w:hAnsi="Arial"/>
          <w:b w:val="false"/>
          <w:bCs w:val="false"/>
          <w:i w:val="false"/>
          <w:iCs w:val="false"/>
          <w:color w:val="1A1A1A"/>
          <w:sz w:val="20"/>
          <w:szCs w:val="20"/>
        </w:rPr>
        <w:t xml:space="preserve">2.  Authoritative restraint — Bold when it counts, minimal always.</w:t>
      </w:r>
    </w:p>
    <w:p>
      <w:pPr>
        <w:spacing w:after="120" w:before="0" w:line="288" w:lineRule="auto"/>
        <w:jc w:val="left"/>
      </w:pPr>
      <w:r>
        <w:rPr>
          <w:rFonts w:ascii="Arial" w:cs="Arial" w:eastAsia="Arial" w:hAnsi="Arial"/>
          <w:b w:val="false"/>
          <w:bCs w:val="false"/>
          <w:i w:val="false"/>
          <w:iCs w:val="false"/>
          <w:color w:val="1A1A1A"/>
          <w:sz w:val="20"/>
          <w:szCs w:val="20"/>
        </w:rPr>
        <w:t xml:space="preserve">3.  Green means something — The brand colour appears only when it marks structure, emphasis, or the Unlock position in a comparison. Never decorative.</w:t>
      </w:r>
    </w:p>
    <w:p>
      <w:pPr>
        <w:spacing w:after="120" w:before="0" w:line="288" w:lineRule="auto"/>
        <w:jc w:val="left"/>
      </w:pPr>
      <w:r>
        <w:rPr>
          <w:rFonts w:ascii="Arial" w:cs="Arial" w:eastAsia="Arial" w:hAnsi="Arial"/>
          <w:b w:val="false"/>
          <w:bCs w:val="false"/>
          <w:i w:val="false"/>
          <w:iCs w:val="false"/>
          <w:color w:val="1A1A1A"/>
          <w:sz w:val="20"/>
          <w:szCs w:val="20"/>
        </w:rPr>
        <w:t xml:space="preserve">4.  Earned whitespace — Pages breathe. Density is a choice, not a default.</w:t>
      </w:r>
    </w:p>
    <w:p>
      <w:pPr>
        <w:spacing w:after="12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Brand Attributes</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1800"/>
        <w:gridCol w:w="3466"/>
        <w:gridCol w:w="3466"/>
      </w:tblGrid>
      <w:tr>
        <w:trPr>
          <w:tblHeader/>
        </w:trPr>
        <w:tc>
          <w:tcPr>
            <w:tcW w:type="dxa" w:w="18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Attribute</w:t>
            </w:r>
          </w:p>
        </w:tc>
        <w:tc>
          <w:tcPr>
            <w:tcW w:type="dxa" w:w="346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Visual</w:t>
            </w:r>
          </w:p>
        </w:tc>
        <w:tc>
          <w:tcPr>
            <w:tcW w:type="dxa" w:w="346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Verbal</w:t>
            </w:r>
          </w:p>
        </w:tc>
      </w:tr>
      <w:tr>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Authoritative</w:t>
            </w:r>
          </w:p>
        </w:tc>
        <w:tc>
          <w:tcPr>
            <w:tcW w:type="dxa" w:w="34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Heavy wordmark; justified body text; structured tables</w:t>
            </w:r>
          </w:p>
        </w:tc>
        <w:tc>
          <w:tcPr>
            <w:tcW w:type="dxa" w:w="34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Declarative sentences; downside before upside; no hedging</w:t>
            </w:r>
          </w:p>
        </w:tc>
      </w:tr>
      <w:tr>
        <w:tc>
          <w:tcPr>
            <w:tcW w:type="dxa" w:w="18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Independent</w:t>
            </w:r>
          </w:p>
        </w:tc>
        <w:tc>
          <w:tcPr>
            <w:tcW w:type="dxa" w:w="34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No product placement; no third-party logos; clean surfaces</w:t>
            </w:r>
          </w:p>
        </w:tc>
        <w:tc>
          <w:tcPr>
            <w:tcW w:type="dxa" w:w="34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No superlatives unless provably true; no commission language</w:t>
            </w:r>
          </w:p>
        </w:tc>
      </w:tr>
      <w:tr>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Precise</w:t>
            </w:r>
          </w:p>
        </w:tc>
        <w:tc>
          <w:tcPr>
            <w:tcW w:type="dxa" w:w="34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Tight colour system; consistent hierarchy; no visual noise</w:t>
            </w:r>
          </w:p>
        </w:tc>
        <w:tc>
          <w:tcPr>
            <w:tcW w:type="dxa" w:w="34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Numbers as numerals; specific dates not vague timeframes</w:t>
            </w:r>
          </w:p>
        </w:tc>
      </w:tr>
      <w:tr>
        <w:tc>
          <w:tcPr>
            <w:tcW w:type="dxa" w:w="18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Accessible</w:t>
            </w:r>
          </w:p>
        </w:tc>
        <w:tc>
          <w:tcPr>
            <w:tcW w:type="dxa" w:w="34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Generous margins; readable body sizes; clear heading hierarchy</w:t>
            </w:r>
          </w:p>
        </w:tc>
        <w:tc>
          <w:tcPr>
            <w:tcW w:type="dxa" w:w="34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Plain English; technical terms defined on first use</w:t>
            </w:r>
          </w:p>
        </w:tc>
      </w:tr>
    </w:tbl>
    <w:p>
      <w:pPr>
        <w:pStyle w:val="Heading1"/>
        <w:pageBreakBefore/>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2: Document Principles</w:t>
      </w:r>
    </w:p>
    <w:p>
      <w:pPr>
        <w:spacing w:after="160" w:before="0" w:line="288" w:lineRule="auto"/>
        <w:jc w:val="both"/>
      </w:pPr>
      <w:r>
        <w:rPr>
          <w:rFonts w:ascii="Arial" w:cs="Arial" w:eastAsia="Arial" w:hAnsi="Arial"/>
          <w:b w:val="false"/>
          <w:bCs w:val="false"/>
          <w:i w:val="false"/>
          <w:iCs w:val="false"/>
          <w:color w:val="1A1A1A"/>
          <w:sz w:val="20"/>
          <w:szCs w:val="20"/>
        </w:rPr>
        <w:t xml:space="preserve">These eight principles govern every document Unlock produces. When in doubt, return here.</w:t>
      </w:r>
    </w:p>
    <w:p>
      <w:pPr>
        <w:spacing w:after="80" w:before="0"/>
        <w:jc w:val="both"/>
      </w:pPr>
      <w:r>
        <w:rPr>
          <w:rFonts w:ascii="Arial" w:cs="Arial" w:eastAsia="Arial" w:hAnsi="Arial"/>
          <w:b w:val="false"/>
          <w:bCs w:val="false"/>
          <w:i w:val="false"/>
          <w:iCs w:val="false"/>
          <w:color w:val="1A1A1A"/>
          <w:sz w:val="20"/>
          <w:szCs w:val="20"/>
        </w:rPr>
        <w:t xml:space="preserve"/>
      </w:r>
    </w:p>
    <w:p>
      <w:pPr>
        <w:spacing w:after="40" w:before="160"/>
        <w:jc w:val="left"/>
      </w:pPr>
      <w:r>
        <w:rPr>
          <w:rFonts w:ascii="Arial" w:cs="Arial" w:eastAsia="Arial" w:hAnsi="Arial"/>
          <w:b/>
          <w:bCs/>
          <w:i w:val="false"/>
          <w:iCs w:val="false"/>
          <w:color w:val="1A1A1A"/>
          <w:sz w:val="20"/>
          <w:szCs w:val="20"/>
        </w:rPr>
        <w:t xml:space="preserve">Principle 1: </w:t>
      </w:r>
      <w:r>
        <w:rPr>
          <w:rFonts w:ascii="Arial" w:cs="Arial" w:eastAsia="Arial" w:hAnsi="Arial"/>
          <w:b/>
          <w:bCs/>
          <w:i w:val="false"/>
          <w:iCs w:val="false"/>
          <w:color w:val="008655"/>
          <w:sz w:val="20"/>
          <w:szCs w:val="20"/>
        </w:rPr>
        <w:t xml:space="preserve">Downside before upside.</w:t>
      </w:r>
    </w:p>
    <w:p>
      <w:pPr>
        <w:spacing w:after="160" w:before="0" w:line="288" w:lineRule="auto"/>
        <w:jc w:val="both"/>
      </w:pPr>
      <w:r>
        <w:rPr>
          <w:rFonts w:ascii="Arial" w:cs="Arial" w:eastAsia="Arial" w:hAnsi="Arial"/>
          <w:b w:val="false"/>
          <w:bCs w:val="false"/>
          <w:i w:val="false"/>
          <w:iCs w:val="false"/>
          <w:color w:val="1A1A1A"/>
          <w:sz w:val="20"/>
          <w:szCs w:val="20"/>
        </w:rPr>
        <w:t xml:space="preserve">Every risk is stated before every opportunity. The reader must understand what can go wrong before they are invited to consider what can go right. This is a legal and ethical requirement, not a stylistic choice.</w:t>
      </w:r>
    </w:p>
    <w:p>
      <w:pPr>
        <w:spacing w:after="40" w:before="160"/>
        <w:jc w:val="left"/>
      </w:pPr>
      <w:r>
        <w:rPr>
          <w:rFonts w:ascii="Arial" w:cs="Arial" w:eastAsia="Arial" w:hAnsi="Arial"/>
          <w:b/>
          <w:bCs/>
          <w:i w:val="false"/>
          <w:iCs w:val="false"/>
          <w:color w:val="1A1A1A"/>
          <w:sz w:val="20"/>
          <w:szCs w:val="20"/>
        </w:rPr>
        <w:t xml:space="preserve">Principle 2: </w:t>
      </w:r>
      <w:r>
        <w:rPr>
          <w:rFonts w:ascii="Arial" w:cs="Arial" w:eastAsia="Arial" w:hAnsi="Arial"/>
          <w:b/>
          <w:bCs/>
          <w:i w:val="false"/>
          <w:iCs w:val="false"/>
          <w:color w:val="008655"/>
          <w:sz w:val="20"/>
          <w:szCs w:val="20"/>
        </w:rPr>
        <w:t xml:space="preserve">The argument is the structure.</w:t>
      </w:r>
    </w:p>
    <w:p>
      <w:pPr>
        <w:spacing w:after="160" w:before="0" w:line="288" w:lineRule="auto"/>
        <w:jc w:val="both"/>
      </w:pPr>
      <w:r>
        <w:rPr>
          <w:rFonts w:ascii="Arial" w:cs="Arial" w:eastAsia="Arial" w:hAnsi="Arial"/>
          <w:b w:val="false"/>
          <w:bCs w:val="false"/>
          <w:i w:val="false"/>
          <w:iCs w:val="false"/>
          <w:color w:val="1A1A1A"/>
          <w:sz w:val="20"/>
          <w:szCs w:val="20"/>
        </w:rPr>
        <w:t xml:space="preserve">Documents are not summaries of topics. Each section advances a specific claim. If a section doesn't advance the argument, it doesn't exist.</w:t>
      </w:r>
    </w:p>
    <w:p>
      <w:pPr>
        <w:spacing w:after="40" w:before="160"/>
        <w:jc w:val="left"/>
      </w:pPr>
      <w:r>
        <w:rPr>
          <w:rFonts w:ascii="Arial" w:cs="Arial" w:eastAsia="Arial" w:hAnsi="Arial"/>
          <w:b/>
          <w:bCs/>
          <w:i w:val="false"/>
          <w:iCs w:val="false"/>
          <w:color w:val="1A1A1A"/>
          <w:sz w:val="20"/>
          <w:szCs w:val="20"/>
        </w:rPr>
        <w:t xml:space="preserve">Principle 3: </w:t>
      </w:r>
      <w:r>
        <w:rPr>
          <w:rFonts w:ascii="Arial" w:cs="Arial" w:eastAsia="Arial" w:hAnsi="Arial"/>
          <w:b/>
          <w:bCs/>
          <w:i w:val="false"/>
          <w:iCs w:val="false"/>
          <w:color w:val="008655"/>
          <w:sz w:val="20"/>
          <w:szCs w:val="20"/>
        </w:rPr>
        <w:t xml:space="preserve">Green is a signal, not a colour.</w:t>
      </w:r>
    </w:p>
    <w:p>
      <w:pPr>
        <w:spacing w:after="160" w:before="0" w:line="288" w:lineRule="auto"/>
        <w:jc w:val="both"/>
      </w:pPr>
      <w:r>
        <w:rPr>
          <w:rFonts w:ascii="Arial" w:cs="Arial" w:eastAsia="Arial" w:hAnsi="Arial"/>
          <w:b w:val="false"/>
          <w:bCs w:val="false"/>
          <w:i w:val="false"/>
          <w:iCs w:val="false"/>
          <w:color w:val="1A1A1A"/>
          <w:sz w:val="20"/>
          <w:szCs w:val="20"/>
        </w:rPr>
        <w:t xml:space="preserve">When something is green, it means something — it is the Unlock position, the better outcome, or the structural marker. Green used for decoration breaks the system.</w:t>
      </w:r>
    </w:p>
    <w:p>
      <w:pPr>
        <w:spacing w:after="40" w:before="160"/>
        <w:jc w:val="left"/>
      </w:pPr>
      <w:r>
        <w:rPr>
          <w:rFonts w:ascii="Arial" w:cs="Arial" w:eastAsia="Arial" w:hAnsi="Arial"/>
          <w:b/>
          <w:bCs/>
          <w:i w:val="false"/>
          <w:iCs w:val="false"/>
          <w:color w:val="1A1A1A"/>
          <w:sz w:val="20"/>
          <w:szCs w:val="20"/>
        </w:rPr>
        <w:t xml:space="preserve">Principle 4: </w:t>
      </w:r>
      <w:r>
        <w:rPr>
          <w:rFonts w:ascii="Arial" w:cs="Arial" w:eastAsia="Arial" w:hAnsi="Arial"/>
          <w:b/>
          <w:bCs/>
          <w:i w:val="false"/>
          <w:iCs w:val="false"/>
          <w:color w:val="008655"/>
          <w:sz w:val="20"/>
          <w:szCs w:val="20"/>
        </w:rPr>
        <w:t xml:space="preserve">Every number is specific.</w:t>
      </w:r>
    </w:p>
    <w:p>
      <w:pPr>
        <w:spacing w:after="160" w:before="0" w:line="288" w:lineRule="auto"/>
        <w:jc w:val="both"/>
      </w:pPr>
      <w:r>
        <w:rPr>
          <w:rFonts w:ascii="Arial" w:cs="Arial" w:eastAsia="Arial" w:hAnsi="Arial"/>
          <w:b w:val="false"/>
          <w:bCs w:val="false"/>
          <w:i w:val="false"/>
          <w:iCs w:val="false"/>
          <w:color w:val="1A1A1A"/>
          <w:sz w:val="20"/>
          <w:szCs w:val="20"/>
        </w:rPr>
        <w:t xml:space="preserve">"Revenue grew significantly" does not exist in Unlock documents. "£34B+ invested through EIS/SEIS since 1994" does. Every figure has a source, a date, or both.</w:t>
      </w:r>
    </w:p>
    <w:p>
      <w:pPr>
        <w:spacing w:after="40" w:before="160"/>
        <w:jc w:val="left"/>
      </w:pPr>
      <w:r>
        <w:rPr>
          <w:rFonts w:ascii="Arial" w:cs="Arial" w:eastAsia="Arial" w:hAnsi="Arial"/>
          <w:b/>
          <w:bCs/>
          <w:i w:val="false"/>
          <w:iCs w:val="false"/>
          <w:color w:val="1A1A1A"/>
          <w:sz w:val="20"/>
          <w:szCs w:val="20"/>
        </w:rPr>
        <w:t xml:space="preserve">Principle 5: </w:t>
      </w:r>
      <w:r>
        <w:rPr>
          <w:rFonts w:ascii="Arial" w:cs="Arial" w:eastAsia="Arial" w:hAnsi="Arial"/>
          <w:b/>
          <w:bCs/>
          <w:i w:val="false"/>
          <w:iCs w:val="false"/>
          <w:color w:val="008655"/>
          <w:sz w:val="20"/>
          <w:szCs w:val="20"/>
        </w:rPr>
        <w:t xml:space="preserve">The wordmark earns trust; the isotype navigates.</w:t>
      </w:r>
    </w:p>
    <w:p>
      <w:pPr>
        <w:spacing w:after="160" w:before="0" w:line="288" w:lineRule="auto"/>
        <w:jc w:val="both"/>
      </w:pPr>
      <w:r>
        <w:rPr>
          <w:rFonts w:ascii="Arial" w:cs="Arial" w:eastAsia="Arial" w:hAnsi="Arial"/>
          <w:b w:val="false"/>
          <w:bCs w:val="false"/>
          <w:i w:val="false"/>
          <w:iCs w:val="false"/>
          <w:color w:val="1A1A1A"/>
          <w:sz w:val="20"/>
          <w:szCs w:val="20"/>
        </w:rPr>
        <w:t xml:space="preserve">The full wordmark appears on cover pages only. The isotype (the Ø icon) appears on every interior page, top-right, at small scale.</w:t>
      </w:r>
    </w:p>
    <w:p>
      <w:pPr>
        <w:spacing w:after="40" w:before="160"/>
        <w:jc w:val="left"/>
      </w:pPr>
      <w:r>
        <w:rPr>
          <w:rFonts w:ascii="Arial" w:cs="Arial" w:eastAsia="Arial" w:hAnsi="Arial"/>
          <w:b/>
          <w:bCs/>
          <w:i w:val="false"/>
          <w:iCs w:val="false"/>
          <w:color w:val="1A1A1A"/>
          <w:sz w:val="20"/>
          <w:szCs w:val="20"/>
        </w:rPr>
        <w:t xml:space="preserve">Principle 6: </w:t>
      </w:r>
      <w:r>
        <w:rPr>
          <w:rFonts w:ascii="Arial" w:cs="Arial" w:eastAsia="Arial" w:hAnsi="Arial"/>
          <w:b/>
          <w:bCs/>
          <w:i w:val="false"/>
          <w:iCs w:val="false"/>
          <w:color w:val="008655"/>
          <w:sz w:val="20"/>
          <w:szCs w:val="20"/>
        </w:rPr>
        <w:t xml:space="preserve">Sections introduce themselves.</w:t>
      </w:r>
    </w:p>
    <w:p>
      <w:pPr>
        <w:spacing w:after="160" w:before="0" w:line="288" w:lineRule="auto"/>
        <w:jc w:val="both"/>
      </w:pPr>
      <w:r>
        <w:rPr>
          <w:rFonts w:ascii="Arial" w:cs="Arial" w:eastAsia="Arial" w:hAnsi="Arial"/>
          <w:b w:val="false"/>
          <w:bCs w:val="false"/>
          <w:i w:val="false"/>
          <w:iCs w:val="false"/>
          <w:color w:val="1A1A1A"/>
          <w:sz w:val="20"/>
          <w:szCs w:val="20"/>
        </w:rPr>
        <w:t xml:space="preserve">Every section opens with a single short paragraph that states what the section is about and why it matters.</w:t>
      </w:r>
    </w:p>
    <w:p>
      <w:pPr>
        <w:spacing w:after="40" w:before="160"/>
        <w:jc w:val="left"/>
      </w:pPr>
      <w:r>
        <w:rPr>
          <w:rFonts w:ascii="Arial" w:cs="Arial" w:eastAsia="Arial" w:hAnsi="Arial"/>
          <w:b/>
          <w:bCs/>
          <w:i w:val="false"/>
          <w:iCs w:val="false"/>
          <w:color w:val="1A1A1A"/>
          <w:sz w:val="20"/>
          <w:szCs w:val="20"/>
        </w:rPr>
        <w:t xml:space="preserve">Principle 7: </w:t>
      </w:r>
      <w:r>
        <w:rPr>
          <w:rFonts w:ascii="Arial" w:cs="Arial" w:eastAsia="Arial" w:hAnsi="Arial"/>
          <w:b/>
          <w:bCs/>
          <w:i w:val="false"/>
          <w:iCs w:val="false"/>
          <w:color w:val="008655"/>
          <w:sz w:val="20"/>
          <w:szCs w:val="20"/>
        </w:rPr>
        <w:t xml:space="preserve">Consistency is a promise.</w:t>
      </w:r>
    </w:p>
    <w:p>
      <w:pPr>
        <w:spacing w:after="160" w:before="0" w:line="288" w:lineRule="auto"/>
        <w:jc w:val="both"/>
      </w:pPr>
      <w:r>
        <w:rPr>
          <w:rFonts w:ascii="Arial" w:cs="Arial" w:eastAsia="Arial" w:hAnsi="Arial"/>
          <w:b w:val="false"/>
          <w:bCs w:val="false"/>
          <w:i w:val="false"/>
          <w:iCs w:val="false"/>
          <w:color w:val="1A1A1A"/>
          <w:sz w:val="20"/>
          <w:szCs w:val="20"/>
        </w:rPr>
        <w:t xml:space="preserve">If a term appears one way in the Access Framework, it appears the same way in the Factsheet and the Case for EIS. Terminological drift signals carelessness.</w:t>
      </w:r>
    </w:p>
    <w:p>
      <w:pPr>
        <w:spacing w:after="40" w:before="160"/>
        <w:jc w:val="left"/>
      </w:pPr>
      <w:r>
        <w:rPr>
          <w:rFonts w:ascii="Arial" w:cs="Arial" w:eastAsia="Arial" w:hAnsi="Arial"/>
          <w:b/>
          <w:bCs/>
          <w:i w:val="false"/>
          <w:iCs w:val="false"/>
          <w:color w:val="1A1A1A"/>
          <w:sz w:val="20"/>
          <w:szCs w:val="20"/>
        </w:rPr>
        <w:t xml:space="preserve">Principle 8: </w:t>
      </w:r>
      <w:r>
        <w:rPr>
          <w:rFonts w:ascii="Arial" w:cs="Arial" w:eastAsia="Arial" w:hAnsi="Arial"/>
          <w:b/>
          <w:bCs/>
          <w:i w:val="false"/>
          <w:iCs w:val="false"/>
          <w:color w:val="008655"/>
          <w:sz w:val="20"/>
          <w:szCs w:val="20"/>
        </w:rPr>
        <w:t xml:space="preserve">Whitespace is not empty space.</w:t>
      </w:r>
    </w:p>
    <w:p>
      <w:pPr>
        <w:spacing w:after="160" w:before="0" w:line="288" w:lineRule="auto"/>
        <w:jc w:val="both"/>
      </w:pPr>
      <w:r>
        <w:rPr>
          <w:rFonts w:ascii="Arial" w:cs="Arial" w:eastAsia="Arial" w:hAnsi="Arial"/>
          <w:b w:val="false"/>
          <w:bCs w:val="false"/>
          <w:i w:val="false"/>
          <w:iCs w:val="false"/>
          <w:color w:val="1A1A1A"/>
          <w:sz w:val="20"/>
          <w:szCs w:val="20"/>
        </w:rPr>
        <w:t xml:space="preserve">Margins exist. Breathing room between sections exists. The page is not to be filled — it is to be used.</w:t>
      </w:r>
    </w:p>
    <w:p>
      <w:pPr>
        <w:pStyle w:val="Heading1"/>
        <w:pageBreakBefore/>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3: Logo System</w:t>
      </w:r>
    </w:p>
    <w:p>
      <w:pPr>
        <w:pStyle w:val="Heading2"/>
        <w:spacing w:after="80" w:before="320" w:line="288" w:lineRule="auto"/>
        <w:jc w:val="left"/>
      </w:pPr>
      <w:r>
        <w:rPr>
          <w:rFonts w:ascii="Arial" w:cs="Arial" w:eastAsia="Arial" w:hAnsi="Arial"/>
          <w:b/>
          <w:bCs/>
          <w:i w:val="false"/>
          <w:iCs w:val="false"/>
          <w:color w:val="1A1A1A"/>
          <w:sz w:val="28"/>
          <w:szCs w:val="28"/>
        </w:rPr>
        <w:t xml:space="preserve">Logo Versions — Confirmed from Asset Files</w:t>
      </w:r>
    </w:p>
    <w:p>
      <w:pPr>
        <w:spacing w:after="160" w:before="0" w:line="288" w:lineRule="auto"/>
        <w:jc w:val="both"/>
      </w:pPr>
      <w:r>
        <w:rPr>
          <w:rFonts w:ascii="Arial" w:cs="Arial" w:eastAsia="Arial" w:hAnsi="Arial"/>
          <w:b w:val="false"/>
          <w:bCs w:val="false"/>
          <w:i w:val="false"/>
          <w:iCs w:val="false"/>
          <w:color w:val="1A1A1A"/>
          <w:sz w:val="20"/>
          <w:szCs w:val="20"/>
        </w:rPr>
        <w:t xml:space="preserve">Six logo files are provided. All have backgrounds baked in as pixels — they are not transparent PNGs. They must be re-exported from source design files as transparent PNGs before use in design tools or templates.</w:t>
      </w:r>
    </w:p>
    <w:p>
      <w:pPr>
        <w:spacing w:after="120" w:before="0"/>
        <w:jc w:val="both"/>
      </w:pPr>
      <w:r>
        <w:rPr>
          <w:rFonts w:ascii="Arial" w:cs="Arial" w:eastAsia="Arial" w:hAnsi="Arial"/>
          <w:b w:val="false"/>
          <w:bCs w:val="false"/>
          <w:i w:val="false"/>
          <w:iCs w:val="false"/>
          <w:color w:val="1A1A1A"/>
          <w:sz w:val="20"/>
          <w:szCs w:val="20"/>
        </w:rPr>
        <w:t xml:space="preserve"/>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732"/>
      </w:tblGrid>
      <w:tr>
        <w:trPr>
          <w:tblHeader/>
        </w:trPr>
        <w:tc>
          <w:tcPr>
            <w:tcW w:type="dxa" w:w="3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Preview</w:t>
            </w:r>
          </w:p>
        </w:tc>
        <w:tc>
          <w:tcPr>
            <w:tcW w:type="dxa" w:w="2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File</w:t>
            </w:r>
          </w:p>
        </w:tc>
        <w:tc>
          <w:tcPr>
            <w:tcW w:type="dxa" w:w="37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Use on</w:t>
            </w:r>
          </w:p>
        </w:tc>
      </w:tr>
      <w:tr>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80" w:before="40"/>
            </w:pPr>
            <w:r>
              <w:drawing>
                <wp:inline distT="0" distB="0" distL="0" distR="0">
                  <wp:extent cx="1762125" cy="476250"/>
                  <wp:effectExtent t="0" r="0" b="0" l="0"/>
                  <wp:docPr id="1" name="/home/claude/logodark_tile.png" descr="/home/claude/logodark_tile.png" title="/home/claude/logodark_t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62125" cy="476250"/>
                          </a:xfrm>
                          <a:prstGeom prst="rect">
                            <a:avLst/>
                          </a:prstGeom>
                        </pic:spPr>
                      </pic:pic>
                    </a:graphicData>
                  </a:graphic>
                </wp:inline>
              </w:drawing>
            </w:r>
          </w:p>
        </w:tc>
        <w:tc>
          <w:tcPr>
            <w:tcW w:type="dxa" w:w="2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logodark.png</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White and light document surfaces</w:t>
            </w:r>
          </w:p>
        </w:tc>
      </w:tr>
      <w:tr>
        <w:tc>
          <w:tcPr>
            <w:tcW w:type="dxa" w:w="3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80" w:before="40"/>
            </w:pPr>
            <w:r>
              <w:drawing>
                <wp:inline distT="0" distB="0" distL="0" distR="0">
                  <wp:extent cx="1762125" cy="476250"/>
                  <wp:effectExtent t="0" r="0" b="0" l="0"/>
                  <wp:docPr id="1" name="/home/claude/logowhite_tile.png" descr="/home/claude/logowhite_tile.png" title="/home/claude/logowhite_t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62125" cy="476250"/>
                          </a:xfrm>
                          <a:prstGeom prst="rect">
                            <a:avLst/>
                          </a:prstGeom>
                        </pic:spPr>
                      </pic:pic>
                    </a:graphicData>
                  </a:graphic>
                </wp:inline>
              </w:drawing>
            </w:r>
          </w:p>
        </w:tc>
        <w:tc>
          <w:tcPr>
            <w:tcW w:type="dxa" w:w="2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logowhite.png</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Dark and photo surfaces</w:t>
            </w:r>
          </w:p>
        </w:tc>
      </w:tr>
      <w:tr>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80" w:before="40"/>
            </w:pPr>
            <w:r>
              <w:drawing>
                <wp:inline distT="0" distB="0" distL="0" distR="0">
                  <wp:extent cx="1762125" cy="476250"/>
                  <wp:effectExtent t="0" r="0" b="0" l="0"/>
                  <wp:docPr id="1" name="/home/claude/logogreen_tile.png" descr="/home/claude/logogreen_tile.png" title="/home/claude/logogreen_t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62125" cy="476250"/>
                          </a:xfrm>
                          <a:prstGeom prst="rect">
                            <a:avLst/>
                          </a:prstGeom>
                        </pic:spPr>
                      </pic:pic>
                    </a:graphicData>
                  </a:graphic>
                </wp:inline>
              </w:drawing>
            </w:r>
          </w:p>
        </w:tc>
        <w:tc>
          <w:tcPr>
            <w:tcW w:type="dxa" w:w="2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logogreen.png</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Full-bleed green slide panels</w:t>
            </w:r>
          </w:p>
        </w:tc>
      </w:tr>
      <w:tr>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80" w:before="40"/>
            </w:pPr>
            <w:r>
              <w:drawing>
                <wp:inline distT="0" distB="0" distL="0" distR="0">
                  <wp:extent cx="400050" cy="628650"/>
                  <wp:effectExtent t="0" r="0" b="0" l="0"/>
                  <wp:docPr id="1" name="/home/claude/isodark_tile.png" descr="/home/claude/isodark_tile.png" title="/home/claude/isodark_t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 cy="628650"/>
                          </a:xfrm>
                          <a:prstGeom prst="rect">
                            <a:avLst/>
                          </a:prstGeom>
                        </pic:spPr>
                      </pic:pic>
                    </a:graphicData>
                  </a:graphic>
                </wp:inline>
              </w:drawing>
            </w:r>
          </w:p>
        </w:tc>
        <w:tc>
          <w:tcPr>
            <w:tcW w:type="dxa" w:w="2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isodark.png</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Interior pages — light surfaces</w:t>
            </w:r>
          </w:p>
        </w:tc>
      </w:tr>
      <w:tr>
        <w:tc>
          <w:tcPr>
            <w:tcW w:type="dxa" w:w="3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80" w:before="40"/>
            </w:pPr>
            <w:r>
              <w:drawing>
                <wp:inline distT="0" distB="0" distL="0" distR="0">
                  <wp:extent cx="400050" cy="628650"/>
                  <wp:effectExtent t="0" r="0" b="0" l="0"/>
                  <wp:docPr id="1" name="/home/claude/isowhite_tile.png" descr="/home/claude/isowhite_tile.png" title="/home/claude/isowhite_t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 cy="628650"/>
                          </a:xfrm>
                          <a:prstGeom prst="rect">
                            <a:avLst/>
                          </a:prstGeom>
                        </pic:spPr>
                      </pic:pic>
                    </a:graphicData>
                  </a:graphic>
                </wp:inline>
              </w:drawing>
            </w:r>
          </w:p>
        </w:tc>
        <w:tc>
          <w:tcPr>
            <w:tcW w:type="dxa" w:w="2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isowhite.png</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Interior pages — dark surfaces</w:t>
            </w:r>
          </w:p>
        </w:tc>
      </w:tr>
      <w:tr>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80" w:before="40"/>
            </w:pPr>
            <w:r>
              <w:drawing>
                <wp:inline distT="0" distB="0" distL="0" distR="0">
                  <wp:extent cx="400050" cy="628650"/>
                  <wp:effectExtent t="0" r="0" b="0" l="0"/>
                  <wp:docPr id="1" name="/home/claude/isogreen_tile.png" descr="/home/claude/isogreen_tile.png" title="/home/claude/isogreen_t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 cy="628650"/>
                          </a:xfrm>
                          <a:prstGeom prst="rect">
                            <a:avLst/>
                          </a:prstGeom>
                        </pic:spPr>
                      </pic:pic>
                    </a:graphicData>
                  </a:graphic>
                </wp:inline>
              </w:drawing>
            </w:r>
          </w:p>
        </w:tc>
        <w:tc>
          <w:tcPr>
            <w:tcW w:type="dxa" w:w="2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isogreen.png</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Interior pages on green slide panels</w:t>
            </w:r>
          </w:p>
        </w:tc>
      </w:tr>
    </w:tbl>
    <w:p>
      <w:pPr>
        <w:spacing w:after="20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Logo Placement</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400"/>
        <w:gridCol w:w="3166"/>
        <w:gridCol w:w="3166"/>
      </w:tblGrid>
      <w:tr>
        <w:trPr>
          <w:tblHeader/>
        </w:trPr>
        <w:tc>
          <w:tcPr>
            <w:tcW w:type="dxa" w:w="2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Document type</w:t>
            </w:r>
          </w:p>
        </w:tc>
        <w:tc>
          <w:tcPr>
            <w:tcW w:type="dxa" w:w="316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Cover page</w:t>
            </w:r>
          </w:p>
        </w:tc>
        <w:tc>
          <w:tcPr>
            <w:tcW w:type="dxa" w:w="3166"/>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Interior pages</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Long-form documents</w:t>
            </w:r>
          </w:p>
        </w:tc>
        <w:tc>
          <w:tcPr>
            <w:tcW w:type="dxa" w:w="31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Full wordmark (logodark), centred upper half</w:t>
            </w:r>
          </w:p>
        </w:tc>
        <w:tc>
          <w:tcPr>
            <w:tcW w:type="dxa" w:w="31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Isotype (isodark), top-right corner, small</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Slide deck — light slides</w:t>
            </w:r>
          </w:p>
        </w:tc>
        <w:tc>
          <w:tcPr>
            <w:tcW w:type="dxa" w:w="31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Isotype (isodark) + section label, top-right</w:t>
            </w:r>
          </w:p>
        </w:tc>
        <w:tc>
          <w:tcPr>
            <w:tcW w:type="dxa" w:w="31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Isotype (isodark), top-right</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Slide deck — dark/teal</w:t>
            </w:r>
          </w:p>
        </w:tc>
        <w:tc>
          <w:tcPr>
            <w:tcW w:type="dxa" w:w="31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Isotype (isowhite), top-right</w:t>
            </w:r>
          </w:p>
        </w:tc>
        <w:tc>
          <w:tcPr>
            <w:tcW w:type="dxa" w:w="31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Isotype (isowhite), top-right</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Slide deck — green full-bleed</w:t>
            </w:r>
          </w:p>
        </w:tc>
        <w:tc>
          <w:tcPr>
            <w:tcW w:type="dxa" w:w="31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Isotype (isogreen), top-right</w:t>
            </w:r>
          </w:p>
        </w:tc>
        <w:tc>
          <w:tcPr>
            <w:tcW w:type="dxa" w:w="31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Isotype (isogreen), top-right</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Slide deck — photo cover</w:t>
            </w:r>
          </w:p>
        </w:tc>
        <w:tc>
          <w:tcPr>
            <w:tcW w:type="dxa" w:w="31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Full wordmark (logowhite) overlaid on photo</w:t>
            </w:r>
          </w:p>
        </w:tc>
        <w:tc>
          <w:tcPr>
            <w:tcW w:type="dxa" w:w="31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t>
            </w:r>
          </w:p>
        </w:tc>
      </w:tr>
    </w:tbl>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Logo Rules</w:t>
      </w:r>
    </w:p>
    <w:p>
      <w:pPr>
        <w:spacing w:after="120" w:before="0" w:line="288" w:lineRule="auto"/>
        <w:jc w:val="left"/>
      </w:pPr>
      <w:r>
        <w:rPr>
          <w:rFonts w:ascii="Arial" w:cs="Arial" w:eastAsia="Arial" w:hAnsi="Arial"/>
          <w:b w:val="false"/>
          <w:bCs w:val="false"/>
          <w:i w:val="false"/>
          <w:iCs w:val="false"/>
          <w:color w:val="1A1A1A"/>
          <w:sz w:val="20"/>
          <w:szCs w:val="20"/>
        </w:rPr>
        <w:t xml:space="preserve">Do not use the full wordmark on interior pages.</w:t>
      </w:r>
    </w:p>
    <w:p>
      <w:pPr>
        <w:spacing w:after="120" w:before="0" w:line="288" w:lineRule="auto"/>
        <w:jc w:val="left"/>
      </w:pPr>
      <w:r>
        <w:rPr>
          <w:rFonts w:ascii="Arial" w:cs="Arial" w:eastAsia="Arial" w:hAnsi="Arial"/>
          <w:b w:val="false"/>
          <w:bCs w:val="false"/>
          <w:i w:val="false"/>
          <w:iCs w:val="false"/>
          <w:color w:val="1A1A1A"/>
          <w:sz w:val="20"/>
          <w:szCs w:val="20"/>
        </w:rPr>
        <w:t xml:space="preserve">Do not add effects, drop shadows, or colour fills to any logo mark.</w:t>
      </w:r>
    </w:p>
    <w:p>
      <w:pPr>
        <w:spacing w:after="120" w:before="0" w:line="288" w:lineRule="auto"/>
        <w:jc w:val="left"/>
      </w:pPr>
      <w:r>
        <w:rPr>
          <w:rFonts w:ascii="Arial" w:cs="Arial" w:eastAsia="Arial" w:hAnsi="Arial"/>
          <w:b w:val="false"/>
          <w:bCs w:val="false"/>
          <w:i w:val="false"/>
          <w:iCs w:val="false"/>
          <w:color w:val="1A1A1A"/>
          <w:sz w:val="20"/>
          <w:szCs w:val="20"/>
        </w:rPr>
        <w:t xml:space="preserve">Do not place a logo on a background that does not match its baked-in background colour.</w:t>
      </w:r>
    </w:p>
    <w:p>
      <w:pPr>
        <w:spacing w:after="120" w:before="0" w:line="288" w:lineRule="auto"/>
        <w:jc w:val="left"/>
      </w:pPr>
      <w:r>
        <w:rPr>
          <w:rFonts w:ascii="Arial" w:cs="Arial" w:eastAsia="Arial" w:hAnsi="Arial"/>
          <w:b w:val="false"/>
          <w:bCs w:val="false"/>
          <w:i w:val="false"/>
          <w:iCs w:val="false"/>
          <w:color w:val="1A1A1A"/>
          <w:sz w:val="20"/>
          <w:szCs w:val="20"/>
        </w:rPr>
        <w:t xml:space="preserve">Do not scale the isotype below approximately 18pt equivalent height.</w:t>
      </w:r>
    </w:p>
    <w:p>
      <w:pPr>
        <w:spacing w:after="120" w:before="0" w:line="288" w:lineRule="auto"/>
        <w:jc w:val="left"/>
      </w:pPr>
      <w:r>
        <w:rPr>
          <w:rFonts w:ascii="Arial" w:cs="Arial" w:eastAsia="Arial" w:hAnsi="Arial"/>
          <w:b w:val="false"/>
          <w:bCs w:val="false"/>
          <w:i w:val="false"/>
          <w:iCs w:val="false"/>
          <w:color w:val="1A1A1A"/>
          <w:sz w:val="20"/>
          <w:szCs w:val="20"/>
        </w:rPr>
        <w:t xml:space="preserve">Do not use the wordmark in running body text.</w:t>
      </w:r>
    </w:p>
    <w:p>
      <w:pPr>
        <w:spacing w:after="120" w:before="0" w:line="288" w:lineRule="auto"/>
        <w:jc w:val="left"/>
      </w:pPr>
      <w:r>
        <w:rPr>
          <w:rFonts w:ascii="Arial" w:cs="Arial" w:eastAsia="Arial" w:hAnsi="Arial"/>
          <w:b w:val="false"/>
          <w:bCs w:val="false"/>
          <w:i w:val="false"/>
          <w:iCs w:val="false"/>
          <w:color w:val="1A1A1A"/>
          <w:sz w:val="20"/>
          <w:szCs w:val="20"/>
        </w:rPr>
        <w:t xml:space="preserve">Action required: Re-export all six files as transparent PNGs from source Figma or Illustrator.</w:t>
      </w:r>
    </w:p>
    <w:p>
      <w:pPr>
        <w:pStyle w:val="Heading1"/>
        <w:pageBreakBefore/>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4: Colour System</w:t>
      </w:r>
    </w:p>
    <w:p>
      <w:pPr>
        <w:pStyle w:val="Heading2"/>
        <w:spacing w:after="80" w:before="320" w:line="288" w:lineRule="auto"/>
        <w:jc w:val="left"/>
      </w:pPr>
      <w:r>
        <w:rPr>
          <w:rFonts w:ascii="Arial" w:cs="Arial" w:eastAsia="Arial" w:hAnsi="Arial"/>
          <w:b/>
          <w:bCs/>
          <w:i w:val="false"/>
          <w:iCs w:val="false"/>
          <w:color w:val="1A1A1A"/>
          <w:sz w:val="28"/>
          <w:szCs w:val="28"/>
        </w:rPr>
        <w:t xml:space="preserve">Primary Palette — Confirmed Values</w:t>
      </w:r>
    </w:p>
    <w:p>
      <w:pPr>
        <w:spacing w:after="160" w:before="0" w:line="288" w:lineRule="auto"/>
        <w:jc w:val="both"/>
      </w:pPr>
      <w:r>
        <w:rPr>
          <w:rFonts w:ascii="Arial" w:cs="Arial" w:eastAsia="Arial" w:hAnsi="Arial"/>
          <w:b w:val="false"/>
          <w:bCs w:val="false"/>
          <w:i w:val="false"/>
          <w:iCs w:val="false"/>
          <w:color w:val="1A1A1A"/>
          <w:sz w:val="20"/>
          <w:szCs w:val="20"/>
        </w:rPr>
        <w:t xml:space="preserve">Exact values confirmed from pixel-level analysis of the logo asset files. #01BC77 is the confirmed brand green — not an estimate.</w:t>
      </w:r>
    </w:p>
    <w:p>
      <w:pPr>
        <w:spacing w:after="80" w:before="0"/>
        <w:jc w:val="both"/>
      </w:pPr>
      <w:r>
        <w:rPr>
          <w:rFonts w:ascii="Arial" w:cs="Arial" w:eastAsia="Arial" w:hAnsi="Arial"/>
          <w:b w:val="false"/>
          <w:bCs w:val="false"/>
          <w:i w:val="false"/>
          <w:iCs w:val="false"/>
          <w:color w:val="1A1A1A"/>
          <w:sz w:val="20"/>
          <w:szCs w:val="20"/>
        </w:rPr>
        <w:t xml:space="preserve"/>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800"/>
        <w:gridCol w:w="4032"/>
      </w:tblGrid>
      <w:tr>
        <w:trPr>
          <w:tblHeader/>
        </w:trPr>
        <w:tc>
          <w:tcPr>
            <w:tcW w:type="dxa" w:w="16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Token</w:t>
            </w:r>
          </w:p>
        </w:tc>
        <w:tc>
          <w:tcPr>
            <w:tcW w:type="dxa" w:w="13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Hex</w:t>
            </w:r>
          </w:p>
        </w:tc>
        <w:tc>
          <w:tcPr>
            <w:tcW w:type="dxa" w:w="18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Preview</w:t>
            </w:r>
          </w:p>
        </w:tc>
        <w:tc>
          <w:tcPr>
            <w:tcW w:type="dxa" w:w="40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Role</w:t>
            </w:r>
          </w:p>
        </w:tc>
      </w:tr>
      <w:tr>
        <w:tc>
          <w:tcPr>
            <w:tcW w:type="dxa" w:w="1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Brand Green</w:t>
            </w:r>
          </w:p>
        </w:tc>
        <w:tc>
          <w:tcPr>
            <w:tcW w:type="dxa" w:w="13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#01BC77</w:t>
            </w:r>
          </w:p>
        </w:tc>
        <w:tc>
          <w:tcPr>
            <w:tcW w:type="dxa" w:w="1800"/>
            <w:tcBorders>
              <w:top w:val="single" w:color="1A1A1A" w:sz="4"/>
              <w:left w:val="single" w:color="1A1A1A" w:sz="4"/>
              <w:bottom w:val="single" w:color="1A1A1A" w:sz="4"/>
              <w:right w:val="single" w:color="1A1A1A" w:sz="4"/>
            </w:tcBorders>
            <w:shd w:fill="01BC7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01BC77"/>
                <w:sz w:val="28"/>
                <w:szCs w:val="28"/>
              </w:rPr>
              <w:t xml:space="preserve">          </w:t>
            </w:r>
          </w:p>
        </w:tc>
        <w:tc>
          <w:tcPr>
            <w:tcW w:type="dxa" w:w="40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Fills, table headers (Unlock column), green slide panels, badges — not for body text</w:t>
            </w:r>
          </w:p>
        </w:tc>
      </w:tr>
      <w:tr>
        <w:tc>
          <w:tcPr>
            <w:tcW w:type="dxa" w:w="1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Text Green</w:t>
            </w:r>
          </w:p>
        </w:tc>
        <w:tc>
          <w:tcPr>
            <w:tcW w:type="dxa" w:w="13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#008655</w:t>
            </w:r>
          </w:p>
        </w:tc>
        <w:tc>
          <w:tcPr>
            <w:tcW w:type="dxa" w:w="1800"/>
            <w:tcBorders>
              <w:top w:val="single" w:color="1A1A1A" w:sz="4"/>
              <w:left w:val="single" w:color="1A1A1A" w:sz="4"/>
              <w:bottom w:val="single" w:color="1A1A1A" w:sz="4"/>
              <w:right w:val="single" w:color="1A1A1A" w:sz="4"/>
            </w:tcBorders>
            <w:shd w:fill="00865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008655"/>
                <w:sz w:val="28"/>
                <w:szCs w:val="28"/>
              </w:rPr>
              <w:t xml:space="preserve">          </w:t>
            </w:r>
          </w:p>
        </w:tc>
        <w:tc>
          <w:tcPr>
            <w:tcW w:type="dxa" w:w="40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All green text: callout labels, section anchors, score values — passes WCAG AA 4.5:1 on white</w:t>
            </w:r>
          </w:p>
        </w:tc>
      </w:tr>
      <w:tr>
        <w:tc>
          <w:tcPr>
            <w:tcW w:type="dxa" w:w="1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Near-black</w:t>
            </w:r>
          </w:p>
        </w:tc>
        <w:tc>
          <w:tcPr>
            <w:tcW w:type="dxa" w:w="13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#1A1A1A</w:t>
            </w:r>
          </w:p>
        </w:tc>
        <w:tc>
          <w:tcPr>
            <w:tcW w:type="dxa" w:w="18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28"/>
                <w:szCs w:val="28"/>
              </w:rPr>
              <w:t xml:space="preserve">          </w:t>
            </w:r>
          </w:p>
        </w:tc>
        <w:tc>
          <w:tcPr>
            <w:tcW w:type="dxa" w:w="40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All body text, all headings, neutral table headers</w:t>
            </w:r>
          </w:p>
        </w:tc>
      </w:tr>
      <w:tr>
        <w:tc>
          <w:tcPr>
            <w:tcW w:type="dxa" w:w="1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White</w:t>
            </w:r>
          </w:p>
        </w:tc>
        <w:tc>
          <w:tcPr>
            <w:tcW w:type="dxa" w:w="13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#FFFFFF</w:t>
            </w:r>
          </w:p>
        </w:tc>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FFFFFF"/>
                <w:sz w:val="28"/>
                <w:szCs w:val="28"/>
              </w:rPr>
              <w:t xml:space="preserve">          </w:t>
            </w:r>
          </w:p>
        </w:tc>
        <w:tc>
          <w:tcPr>
            <w:tcW w:type="dxa" w:w="40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Long-form document backgrounds; text on dark surfaces</w:t>
            </w:r>
          </w:p>
        </w:tc>
      </w:tr>
      <w:tr>
        <w:tc>
          <w:tcPr>
            <w:tcW w:type="dxa" w:w="1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Cream</w:t>
            </w:r>
          </w:p>
        </w:tc>
        <w:tc>
          <w:tcPr>
            <w:tcW w:type="dxa" w:w="13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#F0EBE0</w:t>
            </w:r>
          </w:p>
        </w:tc>
        <w:tc>
          <w:tcPr>
            <w:tcW w:type="dxa" w:w="1800"/>
            <w:tcBorders>
              <w:top w:val="single" w:color="1A1A1A" w:sz="4"/>
              <w:left w:val="single" w:color="1A1A1A" w:sz="4"/>
              <w:bottom w:val="single" w:color="1A1A1A" w:sz="4"/>
              <w:right w:val="single" w:color="1A1A1A" w:sz="4"/>
            </w:tcBorders>
            <w:shd w:fill="F0EBE0"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F0EBE0"/>
                <w:sz w:val="28"/>
                <w:szCs w:val="28"/>
              </w:rPr>
              <w:t xml:space="preserve">          </w:t>
            </w:r>
          </w:p>
        </w:tc>
        <w:tc>
          <w:tcPr>
            <w:tcW w:type="dxa" w:w="40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Default slide content background — never in long-form docs</w:t>
            </w:r>
          </w:p>
        </w:tc>
      </w:tr>
      <w:tr>
        <w:tc>
          <w:tcPr>
            <w:tcW w:type="dxa" w:w="1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Dark Teal</w:t>
            </w:r>
          </w:p>
        </w:tc>
        <w:tc>
          <w:tcPr>
            <w:tcW w:type="dxa" w:w="13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#0D2D35</w:t>
            </w:r>
          </w:p>
        </w:tc>
        <w:tc>
          <w:tcPr>
            <w:tcW w:type="dxa" w:w="1800"/>
            <w:tcBorders>
              <w:top w:val="single" w:color="1A1A1A" w:sz="4"/>
              <w:left w:val="single" w:color="1A1A1A" w:sz="4"/>
              <w:bottom w:val="single" w:color="1A1A1A" w:sz="4"/>
              <w:right w:val="single" w:color="1A1A1A" w:sz="4"/>
            </w:tcBorders>
            <w:shd w:fill="0D2D3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0D2D35"/>
                <w:sz w:val="28"/>
                <w:szCs w:val="28"/>
              </w:rPr>
              <w:t xml:space="preserve">          </w:t>
            </w:r>
          </w:p>
        </w:tc>
        <w:tc>
          <w:tcPr>
            <w:tcW w:type="dxa" w:w="40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Full-bleed slide backgrounds — cover and closing slides only</w:t>
            </w:r>
          </w:p>
        </w:tc>
      </w:tr>
      <w:tr>
        <w:tc>
          <w:tcPr>
            <w:tcW w:type="dxa" w:w="1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Light Grey</w:t>
            </w:r>
          </w:p>
        </w:tc>
        <w:tc>
          <w:tcPr>
            <w:tcW w:type="dxa" w:w="13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#E8E8E8</w:t>
            </w:r>
          </w:p>
        </w:tc>
        <w:tc>
          <w:tcPr>
            <w:tcW w:type="dxa" w:w="1800"/>
            <w:tcBorders>
              <w:top w:val="single" w:color="1A1A1A" w:sz="4"/>
              <w:left w:val="single" w:color="1A1A1A" w:sz="4"/>
              <w:bottom w:val="single" w:color="1A1A1A" w:sz="4"/>
              <w:right w:val="single" w:color="1A1A1A" w:sz="4"/>
            </w:tcBorders>
            <w:shd w:fill="E8E8E8"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E8E8E8"/>
                <w:sz w:val="28"/>
                <w:szCs w:val="28"/>
              </w:rPr>
              <w:t xml:space="preserve">          </w:t>
            </w:r>
          </w:p>
        </w:tc>
        <w:tc>
          <w:tcPr>
            <w:tcW w:type="dxa" w:w="40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Table row dividers, alternating row tints</w:t>
            </w:r>
          </w:p>
        </w:tc>
      </w:tr>
      <w:tr>
        <w:tc>
          <w:tcPr>
            <w:tcW w:type="dxa" w:w="1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Mid-Grey</w:t>
            </w:r>
          </w:p>
        </w:tc>
        <w:tc>
          <w:tcPr>
            <w:tcW w:type="dxa" w:w="13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#888888</w:t>
            </w:r>
          </w:p>
        </w:tc>
        <w:tc>
          <w:tcPr>
            <w:tcW w:type="dxa" w:w="1800"/>
            <w:tcBorders>
              <w:top w:val="single" w:color="1A1A1A" w:sz="4"/>
              <w:left w:val="single" w:color="1A1A1A" w:sz="4"/>
              <w:bottom w:val="single" w:color="1A1A1A" w:sz="4"/>
              <w:right w:val="single" w:color="1A1A1A" w:sz="4"/>
            </w:tcBorders>
            <w:shd w:fill="888888"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888888"/>
                <w:sz w:val="28"/>
                <w:szCs w:val="28"/>
              </w:rPr>
              <w:t xml:space="preserve">          </w:t>
            </w:r>
          </w:p>
        </w:tc>
        <w:tc>
          <w:tcPr>
            <w:tcW w:type="dxa" w:w="40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Page numbers, footnotes, small print, metadata</w:t>
            </w:r>
          </w:p>
        </w:tc>
      </w:tr>
      <w:tr>
        <w:tc>
          <w:tcPr>
            <w:tcW w:type="dxa" w:w="1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Status Amber</w:t>
            </w:r>
          </w:p>
        </w:tc>
        <w:tc>
          <w:tcPr>
            <w:tcW w:type="dxa" w:w="13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#F59E0B</w:t>
            </w:r>
          </w:p>
        </w:tc>
        <w:tc>
          <w:tcPr>
            <w:tcW w:type="dxa" w:w="1800"/>
            <w:tcBorders>
              <w:top w:val="single" w:color="1A1A1A" w:sz="4"/>
              <w:left w:val="single" w:color="1A1A1A" w:sz="4"/>
              <w:bottom w:val="single" w:color="1A1A1A" w:sz="4"/>
              <w:right w:val="single" w:color="1A1A1A" w:sz="4"/>
            </w:tcBorders>
            <w:shd w:fill="F59E0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F59E0B"/>
                <w:sz w:val="28"/>
                <w:szCs w:val="28"/>
              </w:rPr>
              <w:t xml:space="preserve">          </w:t>
            </w:r>
          </w:p>
        </w:tc>
        <w:tc>
          <w:tcPr>
            <w:tcW w:type="dxa" w:w="40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Watch / at-risk indicators in portfolio documents ONLY</w:t>
            </w:r>
          </w:p>
        </w:tc>
      </w:tr>
      <w:tr>
        <w:tc>
          <w:tcPr>
            <w:tcW w:type="dxa" w:w="1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8"/>
                <w:szCs w:val="18"/>
              </w:rPr>
              <w:t xml:space="preserve">Status Red</w:t>
            </w:r>
          </w:p>
        </w:tc>
        <w:tc>
          <w:tcPr>
            <w:tcW w:type="dxa" w:w="13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#EF4444</w:t>
            </w:r>
          </w:p>
        </w:tc>
        <w:tc>
          <w:tcPr>
            <w:tcW w:type="dxa" w:w="1800"/>
            <w:tcBorders>
              <w:top w:val="single" w:color="1A1A1A" w:sz="4"/>
              <w:left w:val="single" w:color="1A1A1A" w:sz="4"/>
              <w:bottom w:val="single" w:color="1A1A1A" w:sz="4"/>
              <w:right w:val="single" w:color="1A1A1A" w:sz="4"/>
            </w:tcBorders>
            <w:shd w:fill="EF444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EF4444"/>
                <w:sz w:val="28"/>
                <w:szCs w:val="28"/>
              </w:rPr>
              <w:t xml:space="preserve">          </w:t>
            </w:r>
          </w:p>
        </w:tc>
        <w:tc>
          <w:tcPr>
            <w:tcW w:type="dxa" w:w="40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Off-track / failing indicators in portfolio documents ONLY</w:t>
            </w:r>
          </w:p>
        </w:tc>
      </w:tr>
    </w:tbl>
    <w:p>
      <w:pPr>
        <w:spacing w:after="20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Contrast Ratios — Verified</w:t>
      </w:r>
    </w:p>
    <w:p>
      <w:pPr>
        <w:pBdr>
          <w:top w:val="single" w:color="01BC77" w:sz="10" w:space="8"/>
        </w:pBdr>
        <w:spacing w:after="40" w:before="160"/>
        <w:jc w:val="left"/>
      </w:pPr>
      <w:r>
        <w:rPr>
          <w:rFonts w:ascii="Arial" w:cs="Arial" w:eastAsia="Arial" w:hAnsi="Arial"/>
          <w:b/>
          <w:bCs/>
          <w:i/>
          <w:iCs/>
          <w:color w:val="008655"/>
          <w:sz w:val="18"/>
          <w:szCs w:val="18"/>
        </w:rPr>
        <w:t xml:space="preserve">Critical accessibility rule:</w:t>
      </w:r>
    </w:p>
    <w:p>
      <w:pPr>
        <w:pBdr>
          <w:bottom w:val="single" w:color="01BC77" w:sz="10" w:space="8"/>
        </w:pBdr>
        <w:spacing w:after="160" w:before="0"/>
        <w:ind w:left="360"/>
        <w:jc w:val="both"/>
      </w:pPr>
      <w:r>
        <w:rPr>
          <w:rFonts w:ascii="Arial" w:cs="Arial" w:eastAsia="Arial" w:hAnsi="Arial"/>
          <w:b w:val="false"/>
          <w:bCs w:val="false"/>
          <w:i w:val="false"/>
          <w:iCs w:val="false"/>
          <w:color w:val="1A1A1A"/>
          <w:sz w:val="18"/>
          <w:szCs w:val="18"/>
        </w:rPr>
        <w:t xml:space="preserve">White text must NOT be placed on Brand Green #01BC77 — it achieves only 2.48:1, failing even the large text threshold of 3:1. Use near-black text on green fills. Some existing table headers use white-on-green — this is a known non-compliant treatment to be corrected in the next revision cycle.</w:t>
      </w:r>
    </w:p>
    <w:p>
      <w:pPr>
        <w:spacing w:after="80" w:before="0"/>
        <w:jc w:val="both"/>
      </w:pPr>
      <w:r>
        <w:rPr>
          <w:rFonts w:ascii="Arial" w:cs="Arial" w:eastAsia="Arial" w:hAnsi="Arial"/>
          <w:b w:val="false"/>
          <w:bCs w:val="false"/>
          <w:i w:val="false"/>
          <w:iCs w:val="false"/>
          <w:color w:val="1A1A1A"/>
          <w:sz w:val="20"/>
          <w:szCs w:val="20"/>
        </w:rPr>
        <w:t xml:space="preserve"/>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332"/>
      </w:tblGrid>
      <w:tr>
        <w:trPr>
          <w:tblHeader/>
        </w:trPr>
        <w:tc>
          <w:tcPr>
            <w:tcW w:type="dxa" w:w="4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Combination</w:t>
            </w:r>
          </w:p>
        </w:tc>
        <w:tc>
          <w:tcPr>
            <w:tcW w:type="dxa" w:w="1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Ratio</w:t>
            </w:r>
          </w:p>
        </w:tc>
        <w:tc>
          <w:tcPr>
            <w:tcW w:type="dxa" w:w="33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WCAG AA status</w:t>
            </w:r>
          </w:p>
        </w:tc>
      </w:tr>
      <w:tr>
        <w:tc>
          <w:tcPr>
            <w:tcW w:type="dxa" w:w="4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Near-black #1A1A1A on White</w:t>
            </w:r>
          </w:p>
        </w:tc>
        <w:tc>
          <w:tcPr>
            <w:tcW w:type="dxa" w:w="1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17.4:1</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008655"/>
                <w:sz w:val="18"/>
                <w:szCs w:val="18"/>
              </w:rPr>
              <w:t xml:space="preserve">✓ Passes all</w:t>
            </w:r>
          </w:p>
        </w:tc>
      </w:tr>
      <w:tr>
        <w:tc>
          <w:tcPr>
            <w:tcW w:type="dxa" w:w="4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Near-black #1A1A1A on Cream</w:t>
            </w:r>
          </w:p>
        </w:tc>
        <w:tc>
          <w:tcPr>
            <w:tcW w:type="dxa" w:w="1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14.6:1</w:t>
            </w:r>
          </w:p>
        </w:tc>
        <w:tc>
          <w:tcPr>
            <w:tcW w:type="dxa" w:w="3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008655"/>
                <w:sz w:val="18"/>
                <w:szCs w:val="18"/>
              </w:rPr>
              <w:t xml:space="preserve">✓ Passes all</w:t>
            </w:r>
          </w:p>
        </w:tc>
      </w:tr>
      <w:tr>
        <w:tc>
          <w:tcPr>
            <w:tcW w:type="dxa" w:w="4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Text Green #008655 on White</w:t>
            </w:r>
          </w:p>
        </w:tc>
        <w:tc>
          <w:tcPr>
            <w:tcW w:type="dxa" w:w="1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4.62:1</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008655"/>
                <w:sz w:val="18"/>
                <w:szCs w:val="18"/>
              </w:rPr>
              <w:t xml:space="preserve">✓ Passes body text (4.5:1 min)</w:t>
            </w:r>
          </w:p>
        </w:tc>
      </w:tr>
      <w:tr>
        <w:tc>
          <w:tcPr>
            <w:tcW w:type="dxa" w:w="4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Text Green #008655 on Cream</w:t>
            </w:r>
          </w:p>
        </w:tc>
        <w:tc>
          <w:tcPr>
            <w:tcW w:type="dxa" w:w="1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3.89:1</w:t>
            </w:r>
          </w:p>
        </w:tc>
        <w:tc>
          <w:tcPr>
            <w:tcW w:type="dxa" w:w="3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008655"/>
                <w:sz w:val="18"/>
                <w:szCs w:val="18"/>
              </w:rPr>
              <w:t xml:space="preserve">✓ Passes large text (3.0:1 min)</w:t>
            </w:r>
          </w:p>
        </w:tc>
      </w:tr>
      <w:tr>
        <w:tc>
          <w:tcPr>
            <w:tcW w:type="dxa" w:w="4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White on Dark Teal #0D2D35</w:t>
            </w:r>
          </w:p>
        </w:tc>
        <w:tc>
          <w:tcPr>
            <w:tcW w:type="dxa" w:w="1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14.5:1</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008655"/>
                <w:sz w:val="18"/>
                <w:szCs w:val="18"/>
              </w:rPr>
              <w:t xml:space="preserve">✓ Passes all</w:t>
            </w:r>
          </w:p>
        </w:tc>
      </w:tr>
      <w:tr>
        <w:tc>
          <w:tcPr>
            <w:tcW w:type="dxa" w:w="4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Brand Green #01BC77 on Dark Teal</w:t>
            </w:r>
          </w:p>
        </w:tc>
        <w:tc>
          <w:tcPr>
            <w:tcW w:type="dxa" w:w="1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5.86:1</w:t>
            </w:r>
          </w:p>
        </w:tc>
        <w:tc>
          <w:tcPr>
            <w:tcW w:type="dxa" w:w="3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008655"/>
                <w:sz w:val="18"/>
                <w:szCs w:val="18"/>
              </w:rPr>
              <w:t xml:space="preserve">✓ Passes all</w:t>
            </w:r>
          </w:p>
        </w:tc>
      </w:tr>
      <w:tr>
        <w:tc>
          <w:tcPr>
            <w:tcW w:type="dxa" w:w="4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White on Brand Green #01BC77</w:t>
            </w:r>
          </w:p>
        </w:tc>
        <w:tc>
          <w:tcPr>
            <w:tcW w:type="dxa" w:w="1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2.48:1</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CC0000"/>
                <w:sz w:val="18"/>
                <w:szCs w:val="18"/>
              </w:rPr>
              <w:t xml:space="preserve">✗ FAILS — do not use</w:t>
            </w:r>
          </w:p>
        </w:tc>
      </w:tr>
      <w:tr>
        <w:tc>
          <w:tcPr>
            <w:tcW w:type="dxa" w:w="4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Near-black on Brand Green #01BC77</w:t>
            </w:r>
          </w:p>
        </w:tc>
        <w:tc>
          <w:tcPr>
            <w:tcW w:type="dxa" w:w="1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7.01:1</w:t>
            </w:r>
          </w:p>
        </w:tc>
        <w:tc>
          <w:tcPr>
            <w:tcW w:type="dxa" w:w="3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008655"/>
                <w:sz w:val="18"/>
                <w:szCs w:val="18"/>
              </w:rPr>
              <w:t xml:space="preserve">✓ Passes — preferred text on green fills</w:t>
            </w:r>
          </w:p>
        </w:tc>
      </w:tr>
    </w:tbl>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Two Greens — When to Use Which</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732"/>
      </w:tblGrid>
      <w:tr>
        <w:trPr>
          <w:tblHeader/>
        </w:trPr>
        <w:tc>
          <w:tcPr>
            <w:tcW w:type="dxa" w:w="28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Context</w:t>
            </w:r>
          </w:p>
        </w:tc>
        <w:tc>
          <w:tcPr>
            <w:tcW w:type="dxa" w:w="2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Use</w:t>
            </w:r>
          </w:p>
        </w:tc>
        <w:tc>
          <w:tcPr>
            <w:tcW w:type="dxa" w:w="37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Why</w:t>
            </w:r>
          </w:p>
        </w:tc>
      </w:tr>
      <w:tr>
        <w:tc>
          <w:tcPr>
            <w:tcW w:type="dxa" w:w="2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Table header cell fill</w:t>
            </w:r>
          </w:p>
        </w:tc>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#01BC77 Brand Green</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Decorative fill — use near-black text over it</w:t>
            </w:r>
          </w:p>
        </w:tc>
      </w:tr>
      <w:tr>
        <w:tc>
          <w:tcPr>
            <w:tcW w:type="dxa" w:w="28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Green slide panel background</w:t>
            </w:r>
          </w:p>
        </w:tc>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#01BC77 Brand Green</w:t>
            </w:r>
          </w:p>
        </w:tc>
        <w:tc>
          <w:tcPr>
            <w:tcW w:type="dxa" w:w="37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Large fill — near-black text</w:t>
            </w:r>
          </w:p>
        </w:tc>
      </w:tr>
      <w:tr>
        <w:tc>
          <w:tcPr>
            <w:tcW w:type="dxa" w:w="2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Callout box border rule</w:t>
            </w:r>
          </w:p>
        </w:tc>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#01BC77 Brand Green</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Non-text — no contrast requirement</w:t>
            </w:r>
          </w:p>
        </w:tc>
      </w:tr>
      <w:tr>
        <w:tc>
          <w:tcPr>
            <w:tcW w:type="dxa" w:w="28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Numbered circle badge</w:t>
            </w:r>
          </w:p>
        </w:tc>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#01BC77 Brand Green</w:t>
            </w:r>
          </w:p>
        </w:tc>
        <w:tc>
          <w:tcPr>
            <w:tcW w:type="dxa" w:w="37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Large graphical element</w:t>
            </w:r>
          </w:p>
        </w:tc>
      </w:tr>
      <w:tr>
        <w:tc>
          <w:tcPr>
            <w:tcW w:type="dxa" w:w="2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Body text: 'High', 'Medium'</w:t>
            </w:r>
          </w:p>
        </w:tc>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#008655 Text Green</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Body-sized text — must pass 4.5:1</w:t>
            </w:r>
          </w:p>
        </w:tc>
      </w:tr>
      <w:tr>
        <w:tc>
          <w:tcPr>
            <w:tcW w:type="dxa" w:w="28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Cover page title line</w:t>
            </w:r>
          </w:p>
        </w:tc>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#008655 Text Green</w:t>
            </w:r>
          </w:p>
        </w:tc>
        <w:tc>
          <w:tcPr>
            <w:tcW w:type="dxa" w:w="37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Text — must be accessible</w:t>
            </w:r>
          </w:p>
        </w:tc>
      </w:tr>
      <w:tr>
        <w:tc>
          <w:tcPr>
            <w:tcW w:type="dxa" w:w="2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Section labels, callout labels</w:t>
            </w:r>
          </w:p>
        </w:tc>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#008655 Text Green</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Text at body size — accessible version</w:t>
            </w:r>
          </w:p>
        </w:tc>
      </w:tr>
    </w:tbl>
    <w:p>
      <w:pPr>
        <w:pStyle w:val="Heading1"/>
        <w:pageBreakBefore/>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5: Typography</w:t>
      </w:r>
    </w:p>
    <w:p>
      <w:pPr>
        <w:pStyle w:val="Heading2"/>
        <w:spacing w:after="80" w:before="320" w:line="288" w:lineRule="auto"/>
        <w:jc w:val="left"/>
      </w:pPr>
      <w:r>
        <w:rPr>
          <w:rFonts w:ascii="Arial" w:cs="Arial" w:eastAsia="Arial" w:hAnsi="Arial"/>
          <w:b/>
          <w:bCs/>
          <w:i w:val="false"/>
          <w:iCs w:val="false"/>
          <w:color w:val="1A1A1A"/>
          <w:sz w:val="28"/>
          <w:szCs w:val="28"/>
        </w:rPr>
        <w:t xml:space="preserve">Typefaces</w:t>
      </w:r>
    </w:p>
    <w:p>
      <w:pPr>
        <w:spacing w:after="160" w:before="0" w:line="288" w:lineRule="auto"/>
        <w:jc w:val="both"/>
      </w:pPr>
      <w:r>
        <w:rPr>
          <w:rFonts w:ascii="Arial" w:cs="Arial" w:eastAsia="Arial" w:hAnsi="Arial"/>
          <w:b w:val="false"/>
          <w:bCs w:val="false"/>
          <w:i w:val="false"/>
          <w:iCs w:val="false"/>
          <w:color w:val="1A1A1A"/>
          <w:sz w:val="20"/>
          <w:szCs w:val="20"/>
        </w:rPr>
        <w:t xml:space="preserve">Exact font names require confirmation from source Figma or Illustrator files. The following are the closest visual matches from pixel-level analysis.</w:t>
      </w:r>
    </w:p>
    <w:p>
      <w:pPr>
        <w:spacing w:after="80" w:before="0"/>
        <w:jc w:val="both"/>
      </w:pPr>
      <w:r>
        <w:rPr>
          <w:rFonts w:ascii="Arial" w:cs="Arial" w:eastAsia="Arial" w:hAnsi="Arial"/>
          <w:b w:val="false"/>
          <w:bCs w:val="false"/>
          <w:i w:val="false"/>
          <w:iCs w:val="false"/>
          <w:color w:val="1A1A1A"/>
          <w:sz w:val="20"/>
          <w:szCs w:val="20"/>
        </w:rPr>
        <w:t xml:space="preserve"/>
      </w:r>
    </w:p>
    <w:p>
      <w:pPr>
        <w:pStyle w:val="Heading3"/>
        <w:spacing w:after="80" w:before="240" w:line="288" w:lineRule="auto"/>
        <w:jc w:val="left"/>
      </w:pPr>
      <w:r>
        <w:rPr>
          <w:rFonts w:ascii="Arial" w:cs="Arial" w:eastAsia="Arial" w:hAnsi="Arial"/>
          <w:b/>
          <w:bCs/>
          <w:i w:val="false"/>
          <w:iCs w:val="false"/>
          <w:color w:val="1A1A1A"/>
          <w:sz w:val="22"/>
          <w:szCs w:val="22"/>
        </w:rPr>
        <w:t xml:space="preserve">Display / Heading — Heavy geometric condensed sans-serif</w:t>
      </w:r>
    </w:p>
    <w:p>
      <w:pPr>
        <w:spacing w:after="160" w:before="0" w:line="288" w:lineRule="auto"/>
        <w:jc w:val="both"/>
      </w:pPr>
      <w:r>
        <w:rPr>
          <w:rFonts w:ascii="Arial" w:cs="Arial" w:eastAsia="Arial" w:hAnsi="Arial"/>
          <w:b w:val="false"/>
          <w:bCs w:val="false"/>
          <w:i w:val="false"/>
          <w:iCs w:val="false"/>
          <w:color w:val="1A1A1A"/>
          <w:sz w:val="20"/>
          <w:szCs w:val="20"/>
        </w:rPr>
        <w:t xml:space="preserve">Used for: the wordmark; slide H1 titles; large stat figures on dark slides. Character: condensed, high x-height, near-zero stroke modulation. Closest public match: Barlow Condensed ExtraBold or Neue Haas Grotesk Display 95 Black.</w:t>
      </w:r>
    </w:p>
    <w:p>
      <w:pPr>
        <w:spacing w:after="80" w:before="0"/>
        <w:jc w:val="both"/>
      </w:pPr>
      <w:r>
        <w:rPr>
          <w:rFonts w:ascii="Arial" w:cs="Arial" w:eastAsia="Arial" w:hAnsi="Arial"/>
          <w:b w:val="false"/>
          <w:bCs w:val="false"/>
          <w:i w:val="false"/>
          <w:iCs w:val="false"/>
          <w:color w:val="1A1A1A"/>
          <w:sz w:val="20"/>
          <w:szCs w:val="20"/>
        </w:rPr>
        <w:t xml:space="preserve"/>
      </w:r>
    </w:p>
    <w:p>
      <w:pPr>
        <w:pStyle w:val="Heading3"/>
        <w:spacing w:after="80" w:before="240" w:line="288" w:lineRule="auto"/>
        <w:jc w:val="left"/>
      </w:pPr>
      <w:r>
        <w:rPr>
          <w:rFonts w:ascii="Arial" w:cs="Arial" w:eastAsia="Arial" w:hAnsi="Arial"/>
          <w:b/>
          <w:bCs/>
          <w:i w:val="false"/>
          <w:iCs w:val="false"/>
          <w:color w:val="1A1A1A"/>
          <w:sz w:val="22"/>
          <w:szCs w:val="22"/>
        </w:rPr>
        <w:t xml:space="preserve">Body / Document — Humanist serif or clean geometric sans at regular weight</w:t>
      </w:r>
    </w:p>
    <w:p>
      <w:pPr>
        <w:spacing w:after="160" w:before="0" w:line="288" w:lineRule="auto"/>
        <w:jc w:val="both"/>
      </w:pPr>
      <w:r>
        <w:rPr>
          <w:rFonts w:ascii="Arial" w:cs="Arial" w:eastAsia="Arial" w:hAnsi="Arial"/>
          <w:b w:val="false"/>
          <w:bCs w:val="false"/>
          <w:i w:val="false"/>
          <w:iCs w:val="false"/>
          <w:color w:val="1A1A1A"/>
          <w:sz w:val="20"/>
          <w:szCs w:val="20"/>
        </w:rPr>
        <w:t xml:space="preserve">Used for: all body copy in long-form docs; slide supporting text; sub-headings. The justified long-form body has the texture of a serif. Closest match: Freight Text Pro Regular (if serif) or Aktiv Grotesk Regular (if sans). Verify from source files.</w:t>
      </w:r>
    </w:p>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Type Scale</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3532"/>
      </w:tblGrid>
      <w:tr>
        <w:trPr>
          <w:tblHeader/>
        </w:trPr>
        <w:tc>
          <w:tcPr>
            <w:tcW w:type="dxa" w:w="2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Level</w:t>
            </w:r>
          </w:p>
        </w:tc>
        <w:tc>
          <w:tcPr>
            <w:tcW w:type="dxa" w:w="1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Approx size</w:t>
            </w:r>
          </w:p>
        </w:tc>
        <w:tc>
          <w:tcPr>
            <w:tcW w:type="dxa" w:w="16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Weight</w:t>
            </w:r>
          </w:p>
        </w:tc>
        <w:tc>
          <w:tcPr>
            <w:tcW w:type="dxa" w:w="35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Usage</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Cover wordmark</w:t>
            </w:r>
          </w:p>
        </w:tc>
        <w:tc>
          <w:tcPr>
            <w:tcW w:type="dxa" w:w="1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80–120pt</w:t>
            </w:r>
          </w:p>
        </w:tc>
        <w:tc>
          <w:tcPr>
            <w:tcW w:type="dxa" w:w="1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Black/Heavy</w:t>
            </w:r>
          </w:p>
        </w:tc>
        <w:tc>
          <w:tcPr>
            <w:tcW w:type="dxa" w:w="3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Cover page only</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Slide H1</w:t>
            </w:r>
          </w:p>
        </w:tc>
        <w:tc>
          <w:tcPr>
            <w:tcW w:type="dxa" w:w="1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42–52pt</w:t>
            </w:r>
          </w:p>
        </w:tc>
        <w:tc>
          <w:tcPr>
            <w:tcW w:type="dxa" w:w="1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Bold</w:t>
            </w:r>
          </w:p>
        </w:tc>
        <w:tc>
          <w:tcPr>
            <w:tcW w:type="dxa" w:w="3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Slide title, 2–3 word stacks</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Stat figure</w:t>
            </w:r>
          </w:p>
        </w:tc>
        <w:tc>
          <w:tcPr>
            <w:tcW w:type="dxa" w:w="1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36–48pt</w:t>
            </w:r>
          </w:p>
        </w:tc>
        <w:tc>
          <w:tcPr>
            <w:tcW w:type="dxa" w:w="1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Bold</w:t>
            </w:r>
          </w:p>
        </w:tc>
        <w:tc>
          <w:tcPr>
            <w:tcW w:type="dxa" w:w="3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Large market numbers on dark slides</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Long-form H1</w:t>
            </w:r>
          </w:p>
        </w:tc>
        <w:tc>
          <w:tcPr>
            <w:tcW w:type="dxa" w:w="1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20–24pt</w:t>
            </w:r>
          </w:p>
        </w:tc>
        <w:tc>
          <w:tcPr>
            <w:tcW w:type="dxa" w:w="1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Bold</w:t>
            </w:r>
          </w:p>
        </w:tc>
        <w:tc>
          <w:tcPr>
            <w:tcW w:type="dxa" w:w="3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Numbered section headings</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Long-form H2</w:t>
            </w:r>
          </w:p>
        </w:tc>
        <w:tc>
          <w:tcPr>
            <w:tcW w:type="dxa" w:w="1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14–16pt</w:t>
            </w:r>
          </w:p>
        </w:tc>
        <w:tc>
          <w:tcPr>
            <w:tcW w:type="dxa" w:w="1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Regular/Medium</w:t>
            </w:r>
          </w:p>
        </w:tc>
        <w:tc>
          <w:tcPr>
            <w:tcW w:type="dxa" w:w="3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Sub-section headings</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Body — long-form</w:t>
            </w:r>
          </w:p>
        </w:tc>
        <w:tc>
          <w:tcPr>
            <w:tcW w:type="dxa" w:w="1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10–11pt</w:t>
            </w:r>
          </w:p>
        </w:tc>
        <w:tc>
          <w:tcPr>
            <w:tcW w:type="dxa" w:w="1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Regular</w:t>
            </w:r>
          </w:p>
        </w:tc>
        <w:tc>
          <w:tcPr>
            <w:tcW w:type="dxa" w:w="3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Paragraph text; fully justified</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Body — slides</w:t>
            </w:r>
          </w:p>
        </w:tc>
        <w:tc>
          <w:tcPr>
            <w:tcW w:type="dxa" w:w="1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11–13pt</w:t>
            </w:r>
          </w:p>
        </w:tc>
        <w:tc>
          <w:tcPr>
            <w:tcW w:type="dxa" w:w="1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Regular</w:t>
            </w:r>
          </w:p>
        </w:tc>
        <w:tc>
          <w:tcPr>
            <w:tcW w:type="dxa" w:w="3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Supporting text</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Table code (P2, S1)</w:t>
            </w:r>
          </w:p>
        </w:tc>
        <w:tc>
          <w:tcPr>
            <w:tcW w:type="dxa" w:w="1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9pt</w:t>
            </w:r>
          </w:p>
        </w:tc>
        <w:tc>
          <w:tcPr>
            <w:tcW w:type="dxa" w:w="1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Bold</w:t>
            </w:r>
          </w:p>
        </w:tc>
        <w:tc>
          <w:tcPr>
            <w:tcW w:type="dxa" w:w="3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Text Green on black cell</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Callout label</w:t>
            </w:r>
          </w:p>
        </w:tc>
        <w:tc>
          <w:tcPr>
            <w:tcW w:type="dxa" w:w="1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10pt</w:t>
            </w:r>
          </w:p>
        </w:tc>
        <w:tc>
          <w:tcPr>
            <w:tcW w:type="dxa" w:w="1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Light/Italic</w:t>
            </w:r>
          </w:p>
        </w:tc>
        <w:tc>
          <w:tcPr>
            <w:tcW w:type="dxa" w:w="3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Text Green: 'Worked example:'</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Small print</w:t>
            </w:r>
          </w:p>
        </w:tc>
        <w:tc>
          <w:tcPr>
            <w:tcW w:type="dxa" w:w="1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8–9pt</w:t>
            </w:r>
          </w:p>
        </w:tc>
        <w:tc>
          <w:tcPr>
            <w:tcW w:type="dxa" w:w="1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Regular</w:t>
            </w:r>
          </w:p>
        </w:tc>
        <w:tc>
          <w:tcPr>
            <w:tcW w:type="dxa" w:w="3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Mid-grey; page numbers; footnotes</w:t>
            </w:r>
          </w:p>
        </w:tc>
      </w:tr>
    </w:tbl>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Capitalisation Rules</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332"/>
      </w:tblGrid>
      <w:tr>
        <w:trPr>
          <w:tblHeader/>
        </w:trPr>
        <w:tc>
          <w:tcPr>
            <w:tcW w:type="dxa" w:w="26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Element</w:t>
            </w:r>
          </w:p>
        </w:tc>
        <w:tc>
          <w:tcPr>
            <w:tcW w:type="dxa" w:w="18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Style</w:t>
            </w:r>
          </w:p>
        </w:tc>
        <w:tc>
          <w:tcPr>
            <w:tcW w:type="dxa" w:w="43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Example</w:t>
            </w:r>
          </w:p>
        </w:tc>
      </w:tr>
      <w:tr>
        <w:tc>
          <w:tcPr>
            <w:tcW w:type="dxa" w:w="2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Long-form H1</w:t>
            </w:r>
          </w:p>
        </w:tc>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Title Case</w:t>
            </w:r>
          </w:p>
        </w:tc>
        <w:tc>
          <w:tcPr>
            <w:tcW w:type="dxa" w:w="4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'The EIS Ecosystem'</w:t>
            </w:r>
          </w:p>
        </w:tc>
      </w:tr>
      <w:tr>
        <w:tc>
          <w:tcPr>
            <w:tcW w:type="dxa" w:w="2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Long-form H2</w:t>
            </w:r>
          </w:p>
        </w:tc>
        <w:tc>
          <w:tcPr>
            <w:tcW w:type="dxa" w:w="18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Title Case</w:t>
            </w:r>
          </w:p>
        </w:tc>
        <w:tc>
          <w:tcPr>
            <w:tcW w:type="dxa" w:w="4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'What Unlock Access Provides'</w:t>
            </w:r>
          </w:p>
        </w:tc>
      </w:tr>
      <w:tr>
        <w:tc>
          <w:tcPr>
            <w:tcW w:type="dxa" w:w="2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Slide H1</w:t>
            </w:r>
          </w:p>
        </w:tc>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Title Case</w:t>
            </w:r>
          </w:p>
        </w:tc>
        <w:tc>
          <w:tcPr>
            <w:tcW w:type="dxa" w:w="4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'The Problem'</w:t>
            </w:r>
          </w:p>
        </w:tc>
      </w:tr>
      <w:tr>
        <w:tc>
          <w:tcPr>
            <w:tcW w:type="dxa" w:w="2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Body text</w:t>
            </w:r>
          </w:p>
        </w:tc>
        <w:tc>
          <w:tcPr>
            <w:tcW w:type="dxa" w:w="18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Sentence case</w:t>
            </w:r>
          </w:p>
        </w:tc>
        <w:tc>
          <w:tcPr>
            <w:tcW w:type="dxa" w:w="4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'The scheme itself is well-designed.'</w:t>
            </w:r>
          </w:p>
        </w:tc>
      </w:tr>
      <w:tr>
        <w:tc>
          <w:tcPr>
            <w:tcW w:type="dxa" w:w="2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Table column headers</w:t>
            </w:r>
          </w:p>
        </w:tc>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Sentence case</w:t>
            </w:r>
          </w:p>
        </w:tc>
        <w:tc>
          <w:tcPr>
            <w:tcW w:type="dxa" w:w="4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'What We Assess', 'Weight'</w:t>
            </w:r>
          </w:p>
        </w:tc>
      </w:tr>
      <w:tr>
        <w:tc>
          <w:tcPr>
            <w:tcW w:type="dxa" w:w="2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Table code labels</w:t>
            </w:r>
          </w:p>
        </w:tc>
        <w:tc>
          <w:tcPr>
            <w:tcW w:type="dxa" w:w="18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ALL CAPS</w:t>
            </w:r>
          </w:p>
        </w:tc>
        <w:tc>
          <w:tcPr>
            <w:tcW w:type="dxa" w:w="4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REGISTER, SIMULATOR, TAX</w:t>
            </w:r>
          </w:p>
        </w:tc>
      </w:tr>
      <w:tr>
        <w:tc>
          <w:tcPr>
            <w:tcW w:type="dxa" w:w="2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Stat figure labels</w:t>
            </w:r>
          </w:p>
        </w:tc>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ALL CAPS + tracked</w:t>
            </w:r>
          </w:p>
        </w:tc>
        <w:tc>
          <w:tcPr>
            <w:tcW w:type="dxa" w:w="4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INVESTED THROUGH EIS/SEIS</w:t>
            </w:r>
          </w:p>
        </w:tc>
      </w:tr>
      <w:tr>
        <w:tc>
          <w:tcPr>
            <w:tcW w:type="dxa" w:w="2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Callout labels</w:t>
            </w:r>
          </w:p>
        </w:tc>
        <w:tc>
          <w:tcPr>
            <w:tcW w:type="dxa" w:w="18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Title Case + colon</w:t>
            </w:r>
          </w:p>
        </w:tc>
        <w:tc>
          <w:tcPr>
            <w:tcW w:type="dxa" w:w="4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'Worked example:', 'Part One'</w:t>
            </w:r>
          </w:p>
        </w:tc>
      </w:tr>
      <w:tr>
        <w:tc>
          <w:tcPr>
            <w:tcW w:type="dxa" w:w="2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Cover subtitle</w:t>
            </w:r>
          </w:p>
        </w:tc>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Title Case</w:t>
            </w:r>
          </w:p>
        </w:tc>
        <w:tc>
          <w:tcPr>
            <w:tcW w:type="dxa" w:w="4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'How We Identify, Evaluate and Support...'</w:t>
            </w:r>
          </w:p>
        </w:tc>
      </w:tr>
    </w:tbl>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Alignment Rules</w:t>
      </w:r>
    </w:p>
    <w:p>
      <w:pPr>
        <w:spacing w:after="120" w:before="0" w:line="288" w:lineRule="auto"/>
        <w:jc w:val="left"/>
      </w:pPr>
      <w:r>
        <w:rPr>
          <w:rFonts w:ascii="Arial" w:cs="Arial" w:eastAsia="Arial" w:hAnsi="Arial"/>
          <w:b w:val="false"/>
          <w:bCs w:val="false"/>
          <w:i w:val="false"/>
          <w:iCs w:val="false"/>
          <w:color w:val="1A1A1A"/>
          <w:sz w:val="20"/>
          <w:szCs w:val="20"/>
        </w:rPr>
        <w:t xml:space="preserve">Long-form body text: fully justified (both edges). Consistent across all long-form documents. Non-negotiable.</w:t>
      </w:r>
    </w:p>
    <w:p>
      <w:pPr>
        <w:spacing w:after="120" w:before="0" w:line="288" w:lineRule="auto"/>
        <w:jc w:val="left"/>
      </w:pPr>
      <w:r>
        <w:rPr>
          <w:rFonts w:ascii="Arial" w:cs="Arial" w:eastAsia="Arial" w:hAnsi="Arial"/>
          <w:b w:val="false"/>
          <w:bCs w:val="false"/>
          <w:i w:val="false"/>
          <w:iCs w:val="false"/>
          <w:color w:val="1A1A1A"/>
          <w:sz w:val="20"/>
          <w:szCs w:val="20"/>
        </w:rPr>
        <w:t xml:space="preserve">Long-form headings: left-aligned, ragged-right.</w:t>
      </w:r>
    </w:p>
    <w:p>
      <w:pPr>
        <w:spacing w:after="120" w:before="0" w:line="288" w:lineRule="auto"/>
        <w:jc w:val="left"/>
      </w:pPr>
      <w:r>
        <w:rPr>
          <w:rFonts w:ascii="Arial" w:cs="Arial" w:eastAsia="Arial" w:hAnsi="Arial"/>
          <w:b w:val="false"/>
          <w:bCs w:val="false"/>
          <w:i w:val="false"/>
          <w:iCs w:val="false"/>
          <w:color w:val="1A1A1A"/>
          <w:sz w:val="20"/>
          <w:szCs w:val="20"/>
        </w:rPr>
        <w:t xml:space="preserve">Slide body text: left-aligned, ragged-right.</w:t>
      </w:r>
    </w:p>
    <w:p>
      <w:pPr>
        <w:spacing w:after="120" w:before="0" w:line="288" w:lineRule="auto"/>
        <w:jc w:val="left"/>
      </w:pPr>
      <w:r>
        <w:rPr>
          <w:rFonts w:ascii="Arial" w:cs="Arial" w:eastAsia="Arial" w:hAnsi="Arial"/>
          <w:b w:val="false"/>
          <w:bCs w:val="false"/>
          <w:i w:val="false"/>
          <w:iCs w:val="false"/>
          <w:color w:val="1A1A1A"/>
          <w:sz w:val="20"/>
          <w:szCs w:val="20"/>
        </w:rPr>
        <w:t xml:space="preserve">Pull-quote / large statement text on slides: centred.</w:t>
      </w:r>
    </w:p>
    <w:p>
      <w:pPr>
        <w:spacing w:after="120" w:before="0" w:line="288" w:lineRule="auto"/>
        <w:jc w:val="left"/>
      </w:pPr>
      <w:r>
        <w:rPr>
          <w:rFonts w:ascii="Arial" w:cs="Arial" w:eastAsia="Arial" w:hAnsi="Arial"/>
          <w:b w:val="false"/>
          <w:bCs w:val="false"/>
          <w:i w:val="false"/>
          <w:iCs w:val="false"/>
          <w:color w:val="1A1A1A"/>
          <w:sz w:val="20"/>
          <w:szCs w:val="20"/>
        </w:rPr>
        <w:t xml:space="preserve">Table body text: left-aligned. Numbers: centred or right-aligned.</w:t>
      </w:r>
    </w:p>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8-Point Spacing Grid</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532"/>
      </w:tblGrid>
      <w:tr>
        <w:trPr>
          <w:tblHeader/>
        </w:trPr>
        <w:tc>
          <w:tcPr>
            <w:tcW w:type="dxa" w:w="2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Token</w:t>
            </w:r>
          </w:p>
        </w:tc>
        <w:tc>
          <w:tcPr>
            <w:tcW w:type="dxa" w:w="1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Value</w:t>
            </w:r>
          </w:p>
        </w:tc>
        <w:tc>
          <w:tcPr>
            <w:tcW w:type="dxa" w:w="55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Usage</w:t>
            </w:r>
          </w:p>
        </w:tc>
      </w:tr>
      <w:tr>
        <w:tc>
          <w:tcPr>
            <w:tcW w:type="dxa" w:w="2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space-xs</w:t>
            </w:r>
          </w:p>
        </w:tc>
        <w:tc>
          <w:tcPr>
            <w:tcW w:type="dxa" w:w="1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4pt</w:t>
            </w:r>
          </w:p>
        </w:tc>
        <w:tc>
          <w:tcPr>
            <w:tcW w:type="dxa" w:w="5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Icon-to-label gaps, micro spacing</w:t>
            </w:r>
          </w:p>
        </w:tc>
      </w:tr>
      <w:tr>
        <w:tc>
          <w:tcPr>
            <w:tcW w:type="dxa" w:w="2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space-sm</w:t>
            </w:r>
          </w:p>
        </w:tc>
        <w:tc>
          <w:tcPr>
            <w:tcW w:type="dxa" w:w="1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8pt</w:t>
            </w:r>
          </w:p>
        </w:tc>
        <w:tc>
          <w:tcPr>
            <w:tcW w:type="dxa" w:w="5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Bonded elements — label + value, heading + first line</w:t>
            </w:r>
          </w:p>
        </w:tc>
      </w:tr>
      <w:tr>
        <w:tc>
          <w:tcPr>
            <w:tcW w:type="dxa" w:w="2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space-md</w:t>
            </w:r>
          </w:p>
        </w:tc>
        <w:tc>
          <w:tcPr>
            <w:tcW w:type="dxa" w:w="1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16pt</w:t>
            </w:r>
          </w:p>
        </w:tc>
        <w:tc>
          <w:tcPr>
            <w:tcW w:type="dxa" w:w="5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Related elements within a section</w:t>
            </w:r>
          </w:p>
        </w:tc>
      </w:tr>
      <w:tr>
        <w:tc>
          <w:tcPr>
            <w:tcW w:type="dxa" w:w="2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space-lg</w:t>
            </w:r>
          </w:p>
        </w:tc>
        <w:tc>
          <w:tcPr>
            <w:tcW w:type="dxa" w:w="1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24pt</w:t>
            </w:r>
          </w:p>
        </w:tc>
        <w:tc>
          <w:tcPr>
            <w:tcW w:type="dxa" w:w="5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Card padding; between distinct elements</w:t>
            </w:r>
          </w:p>
        </w:tc>
      </w:tr>
      <w:tr>
        <w:tc>
          <w:tcPr>
            <w:tcW w:type="dxa" w:w="2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space-xl</w:t>
            </w:r>
          </w:p>
        </w:tc>
        <w:tc>
          <w:tcPr>
            <w:tcW w:type="dxa" w:w="1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32pt</w:t>
            </w:r>
          </w:p>
        </w:tc>
        <w:tc>
          <w:tcPr>
            <w:tcW w:type="dxa" w:w="5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Section spacing</w:t>
            </w:r>
          </w:p>
        </w:tc>
      </w:tr>
      <w:tr>
        <w:tc>
          <w:tcPr>
            <w:tcW w:type="dxa" w:w="2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space-2xl</w:t>
            </w:r>
          </w:p>
        </w:tc>
        <w:tc>
          <w:tcPr>
            <w:tcW w:type="dxa" w:w="1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48pt</w:t>
            </w:r>
          </w:p>
        </w:tc>
        <w:tc>
          <w:tcPr>
            <w:tcW w:type="dxa" w:w="5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Major section breaks</w:t>
            </w:r>
          </w:p>
        </w:tc>
      </w:tr>
      <w:tr>
        <w:tc>
          <w:tcPr>
            <w:tcW w:type="dxa" w:w="2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page-margin</w:t>
            </w:r>
          </w:p>
        </w:tc>
        <w:tc>
          <w:tcPr>
            <w:tcW w:type="dxa" w:w="1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~28pt</w:t>
            </w:r>
          </w:p>
        </w:tc>
        <w:tc>
          <w:tcPr>
            <w:tcW w:type="dxa" w:w="5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All four sides of long-form documents</w:t>
            </w:r>
          </w:p>
        </w:tc>
      </w:tr>
      <w:tr>
        <w:tc>
          <w:tcPr>
            <w:tcW w:type="dxa" w:w="2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slide-margin</w:t>
            </w:r>
          </w:p>
        </w:tc>
        <w:tc>
          <w:tcPr>
            <w:tcW w:type="dxa" w:w="1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6–8%</w:t>
            </w:r>
          </w:p>
        </w:tc>
        <w:tc>
          <w:tcPr>
            <w:tcW w:type="dxa" w:w="5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Left and right of slides</w:t>
            </w:r>
          </w:p>
        </w:tc>
      </w:tr>
    </w:tbl>
    <w:p>
      <w:pPr>
        <w:pStyle w:val="Heading1"/>
        <w:pageBreakBefore/>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6: Layout</w:t>
      </w:r>
    </w:p>
    <w:p>
      <w:pPr>
        <w:pStyle w:val="Heading2"/>
        <w:spacing w:after="80" w:before="320" w:line="288" w:lineRule="auto"/>
        <w:jc w:val="left"/>
      </w:pPr>
      <w:r>
        <w:rPr>
          <w:rFonts w:ascii="Arial" w:cs="Arial" w:eastAsia="Arial" w:hAnsi="Arial"/>
          <w:b/>
          <w:bCs/>
          <w:i w:val="false"/>
          <w:iCs w:val="false"/>
          <w:color w:val="1A1A1A"/>
          <w:sz w:val="28"/>
          <w:szCs w:val="28"/>
        </w:rPr>
        <w:t xml:space="preserve">Long-Form Documents</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332"/>
      </w:tblGrid>
      <w:tr>
        <w:trPr>
          <w:tblHeader/>
        </w:trPr>
        <w:tc>
          <w:tcPr>
            <w:tcW w:type="dxa" w:w="2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Property</w:t>
            </w:r>
          </w:p>
        </w:tc>
        <w:tc>
          <w:tcPr>
            <w:tcW w:type="dxa" w:w="3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Value</w:t>
            </w:r>
          </w:p>
        </w:tc>
        <w:tc>
          <w:tcPr>
            <w:tcW w:type="dxa" w:w="33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Notes</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Page size</w:t>
            </w:r>
          </w:p>
        </w:tc>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A4 portrait — 210×297mm</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Margins</w:t>
            </w:r>
          </w:p>
        </w:tc>
        <w:tc>
          <w:tcPr>
            <w:tcW w:type="dxa" w:w="3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~25–28mm all sides</w:t>
            </w:r>
          </w:p>
        </w:tc>
        <w:tc>
          <w:tcPr>
            <w:tcW w:type="dxa" w:w="3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Generous — text block does not approach edges</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Body text</w:t>
            </w:r>
          </w:p>
        </w:tc>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10–11pt, fully justified</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1.4–1.5× line spacing</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Para spacing</w:t>
            </w:r>
          </w:p>
        </w:tc>
        <w:tc>
          <w:tcPr>
            <w:tcW w:type="dxa" w:w="3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One clear line gap</w:t>
            </w:r>
          </w:p>
        </w:tc>
        <w:tc>
          <w:tcPr>
            <w:tcW w:type="dxa" w:w="3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Visible breath between paragraphs</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H1 spacing</w:t>
            </w:r>
          </w:p>
        </w:tc>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48pt before, 24pt after</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Large gap signals section start</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H2 spacing</w:t>
            </w:r>
          </w:p>
        </w:tc>
        <w:tc>
          <w:tcPr>
            <w:tcW w:type="dxa" w:w="3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24pt before, 12pt after</w:t>
            </w:r>
          </w:p>
        </w:tc>
        <w:tc>
          <w:tcPr>
            <w:tcW w:type="dxa" w:w="3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Footer</w:t>
            </w:r>
          </w:p>
        </w:tc>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Page number only</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Bottom-right, mid-grey, 8–9pt — no other footer text</w:t>
            </w:r>
          </w:p>
        </w:tc>
      </w:tr>
    </w:tbl>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Slide Deck</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332"/>
      </w:tblGrid>
      <w:tr>
        <w:trPr>
          <w:tblHeader/>
        </w:trPr>
        <w:tc>
          <w:tcPr>
            <w:tcW w:type="dxa" w:w="2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Property</w:t>
            </w:r>
          </w:p>
        </w:tc>
        <w:tc>
          <w:tcPr>
            <w:tcW w:type="dxa" w:w="3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Value</w:t>
            </w:r>
          </w:p>
        </w:tc>
        <w:tc>
          <w:tcPr>
            <w:tcW w:type="dxa" w:w="33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Notes</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Dimensions</w:t>
            </w:r>
          </w:p>
        </w:tc>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16:9 widescreen</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1920×1080 equivalent</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Content slides</w:t>
            </w:r>
          </w:p>
        </w:tc>
        <w:tc>
          <w:tcPr>
            <w:tcW w:type="dxa" w:w="3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Cream #F0EBE0 background</w:t>
            </w:r>
          </w:p>
        </w:tc>
        <w:tc>
          <w:tcPr>
            <w:tcW w:type="dxa" w:w="3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All standard content slides</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Cover/close</w:t>
            </w:r>
          </w:p>
        </w:tc>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Full-bleed photo or Dark Teal</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Bookend slides only</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Impact slides</w:t>
            </w:r>
          </w:p>
        </w:tc>
        <w:tc>
          <w:tcPr>
            <w:tcW w:type="dxa" w:w="3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Dark Teal or Brand Green</w:t>
            </w:r>
          </w:p>
        </w:tc>
        <w:tc>
          <w:tcPr>
            <w:tcW w:type="dxa" w:w="3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Maximum 2–3 per deck</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Section label</w:t>
            </w:r>
          </w:p>
        </w:tc>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Top-right</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Section name + isotype</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Title zone</w:t>
            </w:r>
          </w:p>
        </w:tc>
        <w:tc>
          <w:tcPr>
            <w:tcW w:type="dxa" w:w="3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Top-left, ~35–45% height</w:t>
            </w:r>
          </w:p>
        </w:tc>
        <w:tc>
          <w:tcPr>
            <w:tcW w:type="dxa" w:w="3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H1 stack + subtitle</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Page number</w:t>
            </w:r>
          </w:p>
        </w:tc>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Bottom-right</w:t>
            </w:r>
          </w:p>
        </w:tc>
        <w:tc>
          <w:tcPr>
            <w:tcW w:type="dxa" w:w="33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Plain numeral, mid-grey</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Footer line</w:t>
            </w:r>
          </w:p>
        </w:tc>
        <w:tc>
          <w:tcPr>
            <w:tcW w:type="dxa" w:w="3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Bottom edge, selected slides</w:t>
            </w:r>
          </w:p>
        </w:tc>
        <w:tc>
          <w:tcPr>
            <w:tcW w:type="dxa" w:w="33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Single italic sentence — the slide's 'so what'</w:t>
            </w:r>
          </w:p>
        </w:tc>
      </w:tr>
    </w:tbl>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Slide Layout Presets</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132"/>
      </w:tblGrid>
      <w:tr>
        <w:trPr>
          <w:tblHeader/>
        </w:trPr>
        <w:tc>
          <w:tcPr>
            <w:tcW w:type="dxa" w:w="2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Preset</w:t>
            </w:r>
          </w:p>
        </w:tc>
        <w:tc>
          <w:tcPr>
            <w:tcW w:type="dxa" w:w="3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Layout</w:t>
            </w:r>
          </w:p>
        </w:tc>
        <w:tc>
          <w:tcPr>
            <w:tcW w:type="dxa" w:w="31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When used</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Stat trio/quad</w:t>
            </w:r>
          </w:p>
        </w:tc>
        <w:tc>
          <w:tcPr>
            <w:tcW w:type="dxa" w:w="3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3–4 large Brand Green numbers in a row; ALL CAPS label below</w:t>
            </w:r>
          </w:p>
        </w:tc>
        <w:tc>
          <w:tcPr>
            <w:tcW w:type="dxa" w:w="31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Market size; key metrics</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Feature grid</w:t>
            </w:r>
          </w:p>
        </w:tc>
        <w:tc>
          <w:tcPr>
            <w:tcW w:type="dxa" w:w="3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2×3 cards with green left border bar</w:t>
            </w:r>
          </w:p>
        </w:tc>
        <w:tc>
          <w:tcPr>
            <w:tcW w:type="dxa" w:w="31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Product capabilities</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Comparison split</w:t>
            </w:r>
          </w:p>
        </w:tc>
        <w:tc>
          <w:tcPr>
            <w:tcW w:type="dxa" w:w="3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Bordered neutral left panel / Brand Green right panel</w:t>
            </w:r>
          </w:p>
        </w:tc>
        <w:tc>
          <w:tcPr>
            <w:tcW w:type="dxa" w:w="31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Us vs them</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Platform table</w:t>
            </w:r>
          </w:p>
        </w:tc>
        <w:tc>
          <w:tcPr>
            <w:tcW w:type="dxa" w:w="3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Full-width table; green first column codes</w:t>
            </w:r>
          </w:p>
        </w:tc>
        <w:tc>
          <w:tcPr>
            <w:tcW w:type="dxa" w:w="31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Capability overview</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Phase timeline</w:t>
            </w:r>
          </w:p>
        </w:tc>
        <w:tc>
          <w:tcPr>
            <w:tcW w:type="dxa" w:w="3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3 columns; large Text Green phase labels</w:t>
            </w:r>
          </w:p>
        </w:tc>
        <w:tc>
          <w:tcPr>
            <w:tcW w:type="dxa" w:w="31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Roadmap</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Numbered badge list</w:t>
            </w:r>
          </w:p>
        </w:tc>
        <w:tc>
          <w:tcPr>
            <w:tcW w:type="dxa" w:w="3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Brand Green filled circles 1–5; benefit text beside each</w:t>
            </w:r>
          </w:p>
        </w:tc>
        <w:tc>
          <w:tcPr>
            <w:tcW w:type="dxa" w:w="31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Benefits/features</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Pull-quote</w:t>
            </w:r>
          </w:p>
        </w:tc>
        <w:tc>
          <w:tcPr>
            <w:tcW w:type="dxa" w:w="3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Large centred text; cream or dark background</w:t>
            </w:r>
          </w:p>
        </w:tc>
        <w:tc>
          <w:tcPr>
            <w:tcW w:type="dxa" w:w="31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Key statement</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Photo slide</w:t>
            </w:r>
          </w:p>
        </w:tc>
        <w:tc>
          <w:tcPr>
            <w:tcW w:type="dxa" w:w="3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Full-bleed ocean/nature photography; white text left-aligned</w:t>
            </w:r>
          </w:p>
        </w:tc>
        <w:tc>
          <w:tcPr>
            <w:tcW w:type="dxa" w:w="31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Cover and close only</w:t>
            </w:r>
          </w:p>
        </w:tc>
      </w:tr>
    </w:tbl>
    <w:p>
      <w:pPr>
        <w:pStyle w:val="Heading1"/>
        <w:pageBreakBefore/>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7: Voice &amp; Tone</w:t>
      </w:r>
    </w:p>
    <w:p>
      <w:pPr>
        <w:pStyle w:val="Heading2"/>
        <w:spacing w:after="80" w:before="320" w:line="288" w:lineRule="auto"/>
        <w:jc w:val="left"/>
      </w:pPr>
      <w:r>
        <w:rPr>
          <w:rFonts w:ascii="Arial" w:cs="Arial" w:eastAsia="Arial" w:hAnsi="Arial"/>
          <w:b/>
          <w:bCs/>
          <w:i w:val="false"/>
          <w:iCs w:val="false"/>
          <w:color w:val="1A1A1A"/>
          <w:sz w:val="28"/>
          <w:szCs w:val="28"/>
        </w:rPr>
        <w:t xml:space="preserve">Writing Rules</w:t>
      </w:r>
    </w:p>
    <w:p>
      <w:pPr>
        <w:spacing w:after="120" w:before="0" w:line="288" w:lineRule="auto"/>
        <w:jc w:val="left"/>
      </w:pPr>
      <w:r>
        <w:rPr>
          <w:rFonts w:ascii="Arial" w:cs="Arial" w:eastAsia="Arial" w:hAnsi="Arial"/>
          <w:b w:val="false"/>
          <w:bCs w:val="false"/>
          <w:i w:val="false"/>
          <w:iCs w:val="false"/>
          <w:color w:val="1A1A1A"/>
          <w:sz w:val="20"/>
          <w:szCs w:val="20"/>
        </w:rPr>
        <w:t xml:space="preserve">1.   Downside before upside. Always.</w:t>
      </w:r>
    </w:p>
    <w:p>
      <w:pPr>
        <w:spacing w:after="120" w:before="0" w:line="288" w:lineRule="auto"/>
        <w:jc w:val="left"/>
      </w:pPr>
      <w:r>
        <w:rPr>
          <w:rFonts w:ascii="Arial" w:cs="Arial" w:eastAsia="Arial" w:hAnsi="Arial"/>
          <w:b w:val="false"/>
          <w:bCs w:val="false"/>
          <w:i w:val="false"/>
          <w:iCs w:val="false"/>
          <w:color w:val="1A1A1A"/>
          <w:sz w:val="20"/>
          <w:szCs w:val="20"/>
        </w:rPr>
        <w:t xml:space="preserve">2.   Lead with the claim. The first sentence of every paragraph states what the paragraph is about.</w:t>
      </w:r>
    </w:p>
    <w:p>
      <w:pPr>
        <w:spacing w:after="120" w:before="0" w:line="288" w:lineRule="auto"/>
        <w:jc w:val="left"/>
      </w:pPr>
      <w:r>
        <w:rPr>
          <w:rFonts w:ascii="Arial" w:cs="Arial" w:eastAsia="Arial" w:hAnsi="Arial"/>
          <w:b w:val="false"/>
          <w:bCs w:val="false"/>
          <w:i w:val="false"/>
          <w:iCs w:val="false"/>
          <w:color w:val="1A1A1A"/>
          <w:sz w:val="20"/>
          <w:szCs w:val="20"/>
        </w:rPr>
        <w:t xml:space="preserve">3.   Short sentences. Topic sentences: 8–15 words. Maximum: ~35 words. Anything longer — split it.</w:t>
      </w:r>
    </w:p>
    <w:p>
      <w:pPr>
        <w:spacing w:after="120" w:before="0" w:line="288" w:lineRule="auto"/>
        <w:jc w:val="left"/>
      </w:pPr>
      <w:r>
        <w:rPr>
          <w:rFonts w:ascii="Arial" w:cs="Arial" w:eastAsia="Arial" w:hAnsi="Arial"/>
          <w:b w:val="false"/>
          <w:bCs w:val="false"/>
          <w:i w:val="false"/>
          <w:iCs w:val="false"/>
          <w:color w:val="1A1A1A"/>
          <w:sz w:val="20"/>
          <w:szCs w:val="20"/>
        </w:rPr>
        <w:t xml:space="preserve">4.   Active voice. 'Unlock Access evaluates every company' — not 'Every company is evaluated.'</w:t>
      </w:r>
    </w:p>
    <w:p>
      <w:pPr>
        <w:spacing w:after="120" w:before="0" w:line="288" w:lineRule="auto"/>
        <w:jc w:val="left"/>
      </w:pPr>
      <w:r>
        <w:rPr>
          <w:rFonts w:ascii="Arial" w:cs="Arial" w:eastAsia="Arial" w:hAnsi="Arial"/>
          <w:b w:val="false"/>
          <w:bCs w:val="false"/>
          <w:i w:val="false"/>
          <w:iCs w:val="false"/>
          <w:color w:val="1A1A1A"/>
          <w:sz w:val="20"/>
          <w:szCs w:val="20"/>
        </w:rPr>
        <w:t xml:space="preserve">5.   Em dashes for parentheticals — not commas, not brackets.</w:t>
      </w:r>
    </w:p>
    <w:p>
      <w:pPr>
        <w:spacing w:after="120" w:before="0" w:line="288" w:lineRule="auto"/>
        <w:jc w:val="left"/>
      </w:pPr>
      <w:r>
        <w:rPr>
          <w:rFonts w:ascii="Arial" w:cs="Arial" w:eastAsia="Arial" w:hAnsi="Arial"/>
          <w:b w:val="false"/>
          <w:bCs w:val="false"/>
          <w:i w:val="false"/>
          <w:iCs w:val="false"/>
          <w:color w:val="1A1A1A"/>
          <w:sz w:val="20"/>
          <w:szCs w:val="20"/>
        </w:rPr>
        <w:t xml:space="preserve">6.   'The' as an opener. A deliberate Unlock cadence: short declarative sentences often starting with 'The'. Creates authority through rhythm.</w:t>
      </w:r>
    </w:p>
    <w:p>
      <w:pPr>
        <w:spacing w:after="120" w:before="0" w:line="288" w:lineRule="auto"/>
        <w:jc w:val="left"/>
      </w:pPr>
      <w:r>
        <w:rPr>
          <w:rFonts w:ascii="Arial" w:cs="Arial" w:eastAsia="Arial" w:hAnsi="Arial"/>
          <w:b w:val="false"/>
          <w:bCs w:val="false"/>
          <w:i w:val="false"/>
          <w:iCs w:val="false"/>
          <w:color w:val="1A1A1A"/>
          <w:sz w:val="20"/>
          <w:szCs w:val="20"/>
        </w:rPr>
        <w:t xml:space="preserve">7.   No bullet-point prose. Bullets appear in factsheets for scannable item lists only. Long-form uses prose throughout.</w:t>
      </w:r>
    </w:p>
    <w:p>
      <w:pPr>
        <w:spacing w:after="120" w:before="0" w:line="288" w:lineRule="auto"/>
        <w:jc w:val="left"/>
      </w:pPr>
      <w:r>
        <w:rPr>
          <w:rFonts w:ascii="Arial" w:cs="Arial" w:eastAsia="Arial" w:hAnsi="Arial"/>
          <w:b w:val="false"/>
          <w:bCs w:val="false"/>
          <w:i w:val="false"/>
          <w:iCs w:val="false"/>
          <w:color w:val="1A1A1A"/>
          <w:sz w:val="20"/>
          <w:szCs w:val="20"/>
        </w:rPr>
        <w:t xml:space="preserve">8.   Bold for first-use definitions only. Not for general emphasis.</w:t>
      </w:r>
    </w:p>
    <w:p>
      <w:pPr>
        <w:spacing w:after="120" w:before="0" w:line="288" w:lineRule="auto"/>
        <w:jc w:val="left"/>
      </w:pPr>
      <w:r>
        <w:rPr>
          <w:rFonts w:ascii="Arial" w:cs="Arial" w:eastAsia="Arial" w:hAnsi="Arial"/>
          <w:b w:val="false"/>
          <w:bCs w:val="false"/>
          <w:i w:val="false"/>
          <w:iCs w:val="false"/>
          <w:color w:val="1A1A1A"/>
          <w:sz w:val="20"/>
          <w:szCs w:val="20"/>
        </w:rPr>
        <w:t xml:space="preserve">9.   Process sequences use →. 'Agreement execution → shares issued → HMRC payment.'</w:t>
      </w:r>
    </w:p>
    <w:p>
      <w:pPr>
        <w:spacing w:after="120" w:before="0" w:line="288" w:lineRule="auto"/>
        <w:jc w:val="left"/>
      </w:pPr>
      <w:r>
        <w:rPr>
          <w:rFonts w:ascii="Arial" w:cs="Arial" w:eastAsia="Arial" w:hAnsi="Arial"/>
          <w:b w:val="false"/>
          <w:bCs w:val="false"/>
          <w:i w:val="false"/>
          <w:iCs w:val="false"/>
          <w:color w:val="1A1A1A"/>
          <w:sz w:val="20"/>
          <w:szCs w:val="20"/>
        </w:rPr>
        <w:t xml:space="preserve">10.  No superlatives unless provably true and cited.</w:t>
      </w:r>
    </w:p>
    <w:p>
      <w:pPr>
        <w:spacing w:after="120" w:before="0" w:line="288" w:lineRule="auto"/>
        <w:jc w:val="left"/>
      </w:pPr>
      <w:r>
        <w:rPr>
          <w:rFonts w:ascii="Arial" w:cs="Arial" w:eastAsia="Arial" w:hAnsi="Arial"/>
          <w:b w:val="false"/>
          <w:bCs w:val="false"/>
          <w:i w:val="false"/>
          <w:iCs w:val="false"/>
          <w:color w:val="1A1A1A"/>
          <w:sz w:val="20"/>
          <w:szCs w:val="20"/>
        </w:rPr>
        <w:t xml:space="preserve">11.  No hedging language. 'May', 'might', 'could possibly' — cut them unless legally required.</w:t>
      </w:r>
    </w:p>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Number &amp; Currency Formats</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32"/>
      </w:tblGrid>
      <w:tr>
        <w:trPr>
          <w:tblHeader/>
        </w:trPr>
        <w:tc>
          <w:tcPr>
            <w:tcW w:type="dxa" w:w="2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Element</w:t>
            </w:r>
          </w:p>
        </w:tc>
        <w:tc>
          <w:tcPr>
            <w:tcW w:type="dxa" w:w="2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Format</w:t>
            </w:r>
          </w:p>
        </w:tc>
        <w:tc>
          <w:tcPr>
            <w:tcW w:type="dxa" w:w="39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Example</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Currency — exact</w:t>
            </w:r>
          </w:p>
        </w:tc>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Symbol + full number</w:t>
            </w:r>
          </w:p>
        </w:tc>
        <w:tc>
          <w:tcPr>
            <w:tcW w:type="dxa" w:w="39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£50,000</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Currency — large</w:t>
            </w:r>
          </w:p>
        </w:tc>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Symbol + abbreviated</w:t>
            </w:r>
          </w:p>
        </w:tc>
        <w:tc>
          <w:tcPr>
            <w:tcW w:type="dxa" w:w="39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£34B+, £6.5M, £1.8B</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Percentages</w:t>
            </w:r>
          </w:p>
        </w:tc>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Numeral + %</w:t>
            </w:r>
          </w:p>
        </w:tc>
        <w:tc>
          <w:tcPr>
            <w:tcW w:type="dxa" w:w="39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30%, 68% — never '30 percent'</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Large round numbers</w:t>
            </w:r>
          </w:p>
        </w:tc>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Abbreviated with +</w:t>
            </w:r>
          </w:p>
        </w:tc>
        <w:tc>
          <w:tcPr>
            <w:tcW w:type="dxa" w:w="39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59,000+, 22.3M</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Dates in prose</w:t>
            </w:r>
          </w:p>
        </w:tc>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Month YYYY</w:t>
            </w:r>
          </w:p>
        </w:tc>
        <w:tc>
          <w:tcPr>
            <w:tcW w:type="dxa" w:w="39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April 2027, March 2026</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Dates — specific</w:t>
            </w:r>
          </w:p>
        </w:tc>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 Month YYYY</w:t>
            </w:r>
          </w:p>
        </w:tc>
        <w:tc>
          <w:tcPr>
            <w:tcW w:type="dxa" w:w="39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6 April 2026</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Time periods</w:t>
            </w:r>
          </w:p>
        </w:tc>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Hyphenated noun</w:t>
            </w:r>
          </w:p>
        </w:tc>
        <w:tc>
          <w:tcPr>
            <w:tcW w:type="dxa" w:w="39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15-year programme, 3-year minimum hold</w:t>
            </w:r>
          </w:p>
        </w:tc>
      </w:tr>
    </w:tbl>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Terminology</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4366"/>
        <w:gridCol w:w="4366"/>
      </w:tblGrid>
      <w:tr>
        <w:trPr>
          <w:tblHeader/>
        </w:trPr>
        <w:tc>
          <w:tcPr>
            <w:tcW w:type="dxa" w:w="4366"/>
            <w:tcBorders>
              <w:top w:val="single" w:color="1A1A1A" w:sz="4"/>
              <w:left w:val="single" w:color="1A1A1A" w:sz="4"/>
              <w:bottom w:val="single" w:color="1A1A1A" w:sz="4"/>
              <w:right w:val="single" w:color="1A1A1A" w:sz="4"/>
            </w:tcBorders>
            <w:shd w:fill="00865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 Use</w:t>
            </w:r>
          </w:p>
        </w:tc>
        <w:tc>
          <w:tcPr>
            <w:tcW w:type="dxa" w:w="4366"/>
            <w:tcBorders>
              <w:top w:val="single" w:color="1A1A1A" w:sz="4"/>
              <w:left w:val="single" w:color="1A1A1A" w:sz="4"/>
              <w:bottom w:val="single" w:color="1A1A1A" w:sz="4"/>
              <w:right w:val="single" w:color="1A1A1A" w:sz="4"/>
            </w:tcBorders>
            <w:shd w:fill="CC0000"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 Avoid</w:t>
            </w:r>
          </w:p>
        </w:tc>
      </w:tr>
      <w:tr>
        <w:tc>
          <w:tcPr>
            <w:tcW w:type="dxa" w:w="43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Unlock Access</w:t>
            </w:r>
          </w:p>
        </w:tc>
        <w:tc>
          <w:tcPr>
            <w:tcW w:type="dxa" w:w="43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The platform / the service / the company</w:t>
            </w:r>
          </w:p>
        </w:tc>
      </w:tr>
      <w:tr>
        <w:tc>
          <w:tcPr>
            <w:tcW w:type="dxa" w:w="43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EIS / SEIS (always capitalised)</w:t>
            </w:r>
          </w:p>
        </w:tc>
        <w:tc>
          <w:tcPr>
            <w:tcW w:type="dxa" w:w="43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eis, seis</w:t>
            </w:r>
          </w:p>
        </w:tc>
      </w:tr>
      <w:tr>
        <w:tc>
          <w:tcPr>
            <w:tcW w:type="dxa" w:w="43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HNW</w:t>
            </w:r>
          </w:p>
        </w:tc>
        <w:tc>
          <w:tcPr>
            <w:tcW w:type="dxa" w:w="43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High-net-worth (spell out on first use only)</w:t>
            </w:r>
          </w:p>
        </w:tc>
      </w:tr>
      <w:tr>
        <w:tc>
          <w:tcPr>
            <w:tcW w:type="dxa" w:w="43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Programme</w:t>
            </w:r>
          </w:p>
        </w:tc>
        <w:tc>
          <w:tcPr>
            <w:tcW w:type="dxa" w:w="43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Program</w:t>
            </w:r>
          </w:p>
        </w:tc>
      </w:tr>
      <w:tr>
        <w:tc>
          <w:tcPr>
            <w:tcW w:type="dxa" w:w="43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Net invested</w:t>
            </w:r>
          </w:p>
        </w:tc>
        <w:tc>
          <w:tcPr>
            <w:tcW w:type="dxa" w:w="43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Amount invested</w:t>
            </w:r>
          </w:p>
        </w:tc>
      </w:tr>
      <w:tr>
        <w:tc>
          <w:tcPr>
            <w:tcW w:type="dxa" w:w="43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Win rate</w:t>
            </w:r>
          </w:p>
        </w:tc>
        <w:tc>
          <w:tcPr>
            <w:tcW w:type="dxa" w:w="43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Success rate</w:t>
            </w:r>
          </w:p>
        </w:tc>
      </w:tr>
      <w:tr>
        <w:tc>
          <w:tcPr>
            <w:tcW w:type="dxa" w:w="43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Vintage</w:t>
            </w:r>
          </w:p>
        </w:tc>
        <w:tc>
          <w:tcPr>
            <w:tcW w:type="dxa" w:w="43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Year cohort</w:t>
            </w:r>
          </w:p>
        </w:tc>
      </w:tr>
      <w:tr>
        <w:tc>
          <w:tcPr>
            <w:tcW w:type="dxa" w:w="43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Income tax relief</w:t>
            </w:r>
          </w:p>
        </w:tc>
        <w:tc>
          <w:tcPr>
            <w:tcW w:type="dxa" w:w="4366"/>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Tax relief (too vague)</w:t>
            </w:r>
          </w:p>
        </w:tc>
      </w:tr>
      <w:tr>
        <w:tc>
          <w:tcPr>
            <w:tcW w:type="dxa" w:w="43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CGT exemption</w:t>
            </w:r>
          </w:p>
        </w:tc>
        <w:tc>
          <w:tcPr>
            <w:tcW w:type="dxa" w:w="4366"/>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Capital gains tax exemption (after first use)</w:t>
            </w:r>
          </w:p>
        </w:tc>
      </w:tr>
    </w:tbl>
    <w:p>
      <w:pPr>
        <w:pStyle w:val="Heading1"/>
        <w:pageBreakBefore/>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8: Status &amp; RAG System</w:t>
      </w:r>
    </w:p>
    <w:p>
      <w:pPr>
        <w:pBdr>
          <w:top w:val="single" w:color="01BC77" w:sz="10" w:space="8"/>
        </w:pBdr>
        <w:spacing w:after="40" w:before="160"/>
        <w:jc w:val="left"/>
      </w:pPr>
      <w:r>
        <w:rPr>
          <w:rFonts w:ascii="Arial" w:cs="Arial" w:eastAsia="Arial" w:hAnsi="Arial"/>
          <w:b/>
          <w:bCs/>
          <w:i/>
          <w:iCs/>
          <w:color w:val="008655"/>
          <w:sz w:val="18"/>
          <w:szCs w:val="18"/>
        </w:rPr>
        <w:t xml:space="preserve">Scope restriction:</w:t>
      </w:r>
    </w:p>
    <w:p>
      <w:pPr>
        <w:pBdr>
          <w:bottom w:val="single" w:color="01BC77" w:sz="10" w:space="8"/>
        </w:pBdr>
        <w:spacing w:after="160" w:before="0"/>
        <w:ind w:left="360"/>
        <w:jc w:val="both"/>
      </w:pPr>
      <w:r>
        <w:rPr>
          <w:rFonts w:ascii="Arial" w:cs="Arial" w:eastAsia="Arial" w:hAnsi="Arial"/>
          <w:b w:val="false"/>
          <w:bCs w:val="false"/>
          <w:i w:val="false"/>
          <w:iCs w:val="false"/>
          <w:color w:val="1A1A1A"/>
          <w:sz w:val="18"/>
          <w:szCs w:val="18"/>
        </w:rPr>
        <w:t xml:space="preserve">The status system is for portfolio review documents, KYS packs, and operational reports ONLY. It must never appear in positioning, investor, or product documents.</w:t>
      </w:r>
    </w:p>
    <w:p>
      <w:pPr>
        <w:spacing w:after="8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Status Colours</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3732"/>
      </w:tblGrid>
      <w:tr>
        <w:trPr>
          <w:tblHeader/>
        </w:trPr>
        <w:tc>
          <w:tcPr>
            <w:tcW w:type="dxa" w:w="2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Status</w:t>
            </w:r>
          </w:p>
        </w:tc>
        <w:tc>
          <w:tcPr>
            <w:tcW w:type="dxa" w:w="1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Hex</w:t>
            </w:r>
          </w:p>
        </w:tc>
        <w:tc>
          <w:tcPr>
            <w:tcW w:type="dxa" w:w="18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Label</w:t>
            </w:r>
          </w:p>
        </w:tc>
        <w:tc>
          <w:tcPr>
            <w:tcW w:type="dxa" w:w="37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When to use</w:t>
            </w:r>
          </w:p>
        </w:tc>
      </w:tr>
      <w:tr>
        <w:tc>
          <w:tcPr>
            <w:tcW w:type="dxa" w:w="2000"/>
            <w:tcBorders>
              <w:top w:val="single" w:color="1A1A1A" w:sz="4"/>
              <w:left w:val="single" w:color="1A1A1A" w:sz="4"/>
              <w:bottom w:val="single" w:color="1A1A1A" w:sz="4"/>
              <w:right w:val="single" w:color="1A1A1A" w:sz="4"/>
            </w:tcBorders>
            <w:shd w:fill="008655" w:val="clear"/>
            <w:tcMar>
              <w:top w:type="dxa" w:w="80"/>
              <w:left w:type="dxa" w:w="120"/>
              <w:bottom w:type="dxa" w:w="80"/>
              <w:right w:type="dxa" w:w="120"/>
            </w:tcMar>
            <w:vAlign w:val="top"/>
          </w:tcPr>
          <w:p>
            <w:pPr>
              <w:spacing w:after="0" w:before="0"/>
              <w:jc w:val="both"/>
            </w:pPr>
            <w:r>
              <w:rPr>
                <w:rFonts w:ascii="Arial" w:cs="Arial" w:eastAsia="Arial" w:hAnsi="Arial"/>
                <w:b/>
                <w:bCs/>
                <w:i w:val="false"/>
                <w:iCs w:val="false"/>
                <w:color w:val="FFFFFF"/>
                <w:sz w:val="18"/>
                <w:szCs w:val="18"/>
              </w:rPr>
              <w:t xml:space="preserve">On Track / High</w:t>
            </w:r>
          </w:p>
        </w:tc>
        <w:tc>
          <w:tcPr>
            <w:tcW w:type="dxa" w:w="1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#008655</w:t>
            </w:r>
          </w:p>
        </w:tc>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On Track</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Performing in line with or ahead of expectations</w:t>
            </w:r>
          </w:p>
        </w:tc>
      </w:tr>
      <w:tr>
        <w:tc>
          <w:tcPr>
            <w:tcW w:type="dxa" w:w="2000"/>
            <w:tcBorders>
              <w:top w:val="single" w:color="1A1A1A" w:sz="4"/>
              <w:left w:val="single" w:color="1A1A1A" w:sz="4"/>
              <w:bottom w:val="single" w:color="1A1A1A" w:sz="4"/>
              <w:right w:val="single" w:color="1A1A1A" w:sz="4"/>
            </w:tcBorders>
            <w:shd w:fill="F59E0B" w:val="clear"/>
            <w:tcMar>
              <w:top w:type="dxa" w:w="80"/>
              <w:left w:type="dxa" w:w="120"/>
              <w:bottom w:type="dxa" w:w="80"/>
              <w:right w:type="dxa" w:w="120"/>
            </w:tcMar>
            <w:vAlign w:val="top"/>
          </w:tcPr>
          <w:p>
            <w:pPr>
              <w:spacing w:after="0" w:before="0"/>
              <w:jc w:val="both"/>
            </w:pPr>
            <w:r>
              <w:rPr>
                <w:rFonts w:ascii="Arial" w:cs="Arial" w:eastAsia="Arial" w:hAnsi="Arial"/>
                <w:b/>
                <w:bCs/>
                <w:i w:val="false"/>
                <w:iCs w:val="false"/>
                <w:color w:val="FFFFFF"/>
                <w:sz w:val="18"/>
                <w:szCs w:val="18"/>
              </w:rPr>
              <w:t xml:space="preserve">Watch / Medium</w:t>
            </w:r>
          </w:p>
        </w:tc>
        <w:tc>
          <w:tcPr>
            <w:tcW w:type="dxa" w:w="1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#F59E0B</w:t>
            </w:r>
          </w:p>
        </w:tc>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Watch</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Directional concern — not yet a problem</w:t>
            </w:r>
          </w:p>
        </w:tc>
      </w:tr>
      <w:tr>
        <w:tc>
          <w:tcPr>
            <w:tcW w:type="dxa" w:w="2000"/>
            <w:tcBorders>
              <w:top w:val="single" w:color="1A1A1A" w:sz="4"/>
              <w:left w:val="single" w:color="1A1A1A" w:sz="4"/>
              <w:bottom w:val="single" w:color="1A1A1A" w:sz="4"/>
              <w:right w:val="single" w:color="1A1A1A" w:sz="4"/>
            </w:tcBorders>
            <w:shd w:fill="EF4444" w:val="clear"/>
            <w:tcMar>
              <w:top w:type="dxa" w:w="80"/>
              <w:left w:type="dxa" w:w="120"/>
              <w:bottom w:type="dxa" w:w="80"/>
              <w:right w:type="dxa" w:w="120"/>
            </w:tcMar>
            <w:vAlign w:val="top"/>
          </w:tcPr>
          <w:p>
            <w:pPr>
              <w:spacing w:after="0" w:before="0"/>
              <w:jc w:val="both"/>
            </w:pPr>
            <w:r>
              <w:rPr>
                <w:rFonts w:ascii="Arial" w:cs="Arial" w:eastAsia="Arial" w:hAnsi="Arial"/>
                <w:b/>
                <w:bCs/>
                <w:i w:val="false"/>
                <w:iCs w:val="false"/>
                <w:color w:val="FFFFFF"/>
                <w:sz w:val="18"/>
                <w:szCs w:val="18"/>
              </w:rPr>
              <w:t xml:space="preserve">At Risk / Low</w:t>
            </w:r>
          </w:p>
        </w:tc>
        <w:tc>
          <w:tcPr>
            <w:tcW w:type="dxa" w:w="1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#EF4444</w:t>
            </w:r>
          </w:p>
        </w:tc>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At Risk</w:t>
            </w:r>
          </w:p>
        </w:tc>
        <w:tc>
          <w:tcPr>
            <w:tcW w:type="dxa" w:w="3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Requires active attention or intervention</w:t>
            </w:r>
          </w:p>
        </w:tc>
      </w:tr>
    </w:tbl>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Rules</w:t>
      </w:r>
    </w:p>
    <w:p>
      <w:pPr>
        <w:spacing w:after="120" w:before="0" w:line="288" w:lineRule="auto"/>
        <w:jc w:val="left"/>
      </w:pPr>
      <w:r>
        <w:rPr>
          <w:rFonts w:ascii="Arial" w:cs="Arial" w:eastAsia="Arial" w:hAnsi="Arial"/>
          <w:b w:val="false"/>
          <w:bCs w:val="false"/>
          <w:i w:val="false"/>
          <w:iCs w:val="false"/>
          <w:color w:val="1A1A1A"/>
          <w:sz w:val="20"/>
          <w:szCs w:val="20"/>
        </w:rPr>
        <w:t xml:space="preserve">Status colour is never used alone — always paired with a text label.</w:t>
      </w:r>
    </w:p>
    <w:p>
      <w:pPr>
        <w:spacing w:after="120" w:before="0" w:line="288" w:lineRule="auto"/>
        <w:jc w:val="left"/>
      </w:pPr>
      <w:r>
        <w:rPr>
          <w:rFonts w:ascii="Arial" w:cs="Arial" w:eastAsia="Arial" w:hAnsi="Arial"/>
          <w:b w:val="false"/>
          <w:bCs w:val="false"/>
          <w:i w:val="false"/>
          <w:iCs w:val="false"/>
          <w:color w:val="1A1A1A"/>
          <w:sz w:val="20"/>
          <w:szCs w:val="20"/>
        </w:rPr>
        <w:t xml:space="preserve">Amber and Red never appear in external positioning documents under any circumstances.</w:t>
      </w:r>
    </w:p>
    <w:p>
      <w:pPr>
        <w:spacing w:after="120" w:before="0" w:line="288" w:lineRule="auto"/>
        <w:jc w:val="left"/>
      </w:pPr>
      <w:r>
        <w:rPr>
          <w:rFonts w:ascii="Arial" w:cs="Arial" w:eastAsia="Arial" w:hAnsi="Arial"/>
          <w:b w:val="false"/>
          <w:bCs w:val="false"/>
          <w:i w:val="false"/>
          <w:iCs w:val="false"/>
          <w:color w:val="1A1A1A"/>
          <w:sz w:val="20"/>
          <w:szCs w:val="20"/>
        </w:rPr>
        <w:t xml:space="preserve">In scoring tables, 'High' and 'Medium' are Text Green only — the scoring system is a quality filter, not a performance traffic light.</w:t>
      </w:r>
    </w:p>
    <w:p>
      <w:pPr>
        <w:spacing w:after="120" w:before="0" w:line="288" w:lineRule="auto"/>
        <w:jc w:val="left"/>
      </w:pPr>
      <w:r>
        <w:rPr>
          <w:rFonts w:ascii="Arial" w:cs="Arial" w:eastAsia="Arial" w:hAnsi="Arial"/>
          <w:b w:val="false"/>
          <w:bCs w:val="false"/>
          <w:i w:val="false"/>
          <w:iCs w:val="false"/>
          <w:color w:val="1A1A1A"/>
          <w:sz w:val="20"/>
          <w:szCs w:val="20"/>
        </w:rPr>
        <w:t xml:space="preserve">Portfolio momentum indicators (On Track / Watch / At Risk) use this system in operational documents only.</w:t>
      </w:r>
    </w:p>
    <w:p>
      <w:pPr>
        <w:pStyle w:val="Heading1"/>
        <w:pageBreakBefore/>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9: Table System</w:t>
      </w:r>
    </w:p>
    <w:p>
      <w:pPr>
        <w:pStyle w:val="Heading2"/>
        <w:spacing w:after="80" w:before="320" w:line="288" w:lineRule="auto"/>
        <w:jc w:val="left"/>
      </w:pPr>
      <w:r>
        <w:rPr>
          <w:rFonts w:ascii="Arial" w:cs="Arial" w:eastAsia="Arial" w:hAnsi="Arial"/>
          <w:b/>
          <w:bCs/>
          <w:i w:val="false"/>
          <w:iCs w:val="false"/>
          <w:color w:val="1A1A1A"/>
          <w:sz w:val="28"/>
          <w:szCs w:val="28"/>
        </w:rPr>
        <w:t xml:space="preserve">Scoring Tables — Long-Form</w:t>
      </w:r>
    </w:p>
    <w:p>
      <w:pPr>
        <w:spacing w:after="160" w:before="0" w:line="288" w:lineRule="auto"/>
        <w:jc w:val="both"/>
      </w:pPr>
      <w:r>
        <w:rPr>
          <w:rFonts w:ascii="Arial" w:cs="Arial" w:eastAsia="Arial" w:hAnsi="Arial"/>
          <w:b w:val="false"/>
          <w:bCs w:val="false"/>
          <w:i w:val="false"/>
          <w:iCs w:val="false"/>
          <w:color w:val="1A1A1A"/>
          <w:sz w:val="20"/>
          <w:szCs w:val="20"/>
        </w:rPr>
        <w:t xml:space="preserve">Used in: Access Framework domain scoring, Workshop decision log. Three columns: code label (P1, S3...), criterion description, and weight.</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2732"/>
      </w:tblGrid>
      <w:tr>
        <w:trPr>
          <w:tblHeader/>
        </w:trPr>
        <w:tc>
          <w:tcPr>
            <w:tcW w:type="dxa" w:w="2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Column</w:t>
            </w:r>
          </w:p>
        </w:tc>
        <w:tc>
          <w:tcPr>
            <w:tcW w:type="dxa" w:w="1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Width</w:t>
            </w:r>
          </w:p>
        </w:tc>
        <w:tc>
          <w:tcPr>
            <w:tcW w:type="dxa" w:w="26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Cell style</w:t>
            </w:r>
          </w:p>
        </w:tc>
        <w:tc>
          <w:tcPr>
            <w:tcW w:type="dxa" w:w="27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Notes</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Code + label (P1, S3...)</w:t>
            </w:r>
          </w:p>
        </w:tc>
        <w:tc>
          <w:tcPr>
            <w:tcW w:type="dxa" w:w="1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~12%</w:t>
            </w:r>
          </w:p>
        </w:tc>
        <w:tc>
          <w:tcPr>
            <w:tcW w:type="dxa" w:w="2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Black fill; code in Text Green bold; label white regular</w:t>
            </w:r>
          </w:p>
        </w:tc>
        <w:tc>
          <w:tcPr>
            <w:tcW w:type="dxa" w:w="2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Criterion identifier</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Criterion / description</w:t>
            </w:r>
          </w:p>
        </w:tc>
        <w:tc>
          <w:tcPr>
            <w:tcW w:type="dxa" w:w="1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~55%</w:t>
            </w:r>
          </w:p>
        </w:tc>
        <w:tc>
          <w:tcPr>
            <w:tcW w:type="dxa" w:w="26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White fill; near-black regular</w:t>
            </w:r>
          </w:p>
        </w:tc>
        <w:tc>
          <w:tcPr>
            <w:tcW w:type="dxa" w:w="27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Assessment description</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Weight</w:t>
            </w:r>
          </w:p>
        </w:tc>
        <w:tc>
          <w:tcPr>
            <w:tcW w:type="dxa" w:w="1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~33%</w:t>
            </w:r>
          </w:p>
        </w:tc>
        <w:tc>
          <w:tcPr>
            <w:tcW w:type="dxa" w:w="26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White fill; 'High'/'Medium' in Text Green #008655</w:t>
            </w:r>
          </w:p>
        </w:tc>
        <w:tc>
          <w:tcPr>
            <w:tcW w:type="dxa" w:w="2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Importance signal — never amber or red</w:t>
            </w:r>
          </w:p>
        </w:tc>
      </w:tr>
    </w:tbl>
    <w:p>
      <w:pPr>
        <w:spacing w:after="160" w:before="0" w:line="288" w:lineRule="auto"/>
        <w:jc w:val="both"/>
      </w:pPr>
      <w:r>
        <w:rPr>
          <w:rFonts w:ascii="Arial" w:cs="Arial" w:eastAsia="Arial" w:hAnsi="Arial"/>
          <w:b w:val="false"/>
          <w:bCs w:val="false"/>
          <w:i w:val="false"/>
          <w:iCs w:val="false"/>
          <w:color w:val="1A1A1A"/>
          <w:sz w:val="20"/>
          <w:szCs w:val="20"/>
        </w:rPr>
        <w:t xml:space="preserve">Header row: near-black fill, white text. Borders: 1px near-black all sides. Cell padding: 8–10pt top/bottom. No alternating row shading.</w:t>
      </w:r>
    </w:p>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Comparison Tables — Long-Form</w:t>
      </w:r>
    </w:p>
    <w:p>
      <w:pPr>
        <w:spacing w:after="160" w:before="0" w:line="288" w:lineRule="auto"/>
        <w:jc w:val="both"/>
      </w:pPr>
      <w:r>
        <w:rPr>
          <w:rFonts w:ascii="Arial" w:cs="Arial" w:eastAsia="Arial" w:hAnsi="Arial"/>
          <w:b w:val="false"/>
          <w:bCs w:val="false"/>
          <w:i w:val="false"/>
          <w:iCs w:val="false"/>
          <w:color w:val="1A1A1A"/>
          <w:sz w:val="20"/>
          <w:szCs w:val="20"/>
        </w:rPr>
        <w:t xml:space="preserve">Header row: left column — near-black fill, white text. Right (Unlock) column — Brand Green fill, near-black text. Do not use white text on green — it fails contrast. Data rows: white fill, near-black text.</w:t>
      </w:r>
    </w:p>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Platform Tables — Slides</w:t>
      </w:r>
    </w:p>
    <w:p>
      <w:pPr>
        <w:spacing w:after="160" w:before="0" w:line="288" w:lineRule="auto"/>
        <w:jc w:val="both"/>
      </w:pPr>
      <w:r>
        <w:rPr>
          <w:rFonts w:ascii="Arial" w:cs="Arial" w:eastAsia="Arial" w:hAnsi="Arial"/>
          <w:b w:val="false"/>
          <w:bCs w:val="false"/>
          <w:i w:val="false"/>
          <w:iCs w:val="false"/>
          <w:color w:val="1A1A1A"/>
          <w:sz w:val="20"/>
          <w:szCs w:val="20"/>
        </w:rPr>
        <w:t xml:space="preserve">First column: Brand Green fill, ALL CAPS near-black label. Remaining columns: white fill, near-black text. Header row: near-black fill left columns, Brand Green fill right column. All borders: 1px near-black.</w:t>
      </w:r>
    </w:p>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Factsheet Comparison Tables</w:t>
      </w:r>
    </w:p>
    <w:p>
      <w:pPr>
        <w:spacing w:after="160" w:before="0" w:line="288" w:lineRule="auto"/>
        <w:jc w:val="both"/>
      </w:pPr>
      <w:r>
        <w:rPr>
          <w:rFonts w:ascii="Arial" w:cs="Arial" w:eastAsia="Arial" w:hAnsi="Arial"/>
          <w:b w:val="false"/>
          <w:bCs w:val="false"/>
          <w:i w:val="false"/>
          <w:iCs w:val="false"/>
          <w:color w:val="1A1A1A"/>
          <w:sz w:val="20"/>
          <w:szCs w:val="20"/>
        </w:rPr>
        <w:t xml:space="preserve">Header row: first column Brand Green fill, second column near-black fill. Both with near-black text. Data rows: white fill, centred text, light grey row dividers.</w:t>
      </w:r>
    </w:p>
    <w:p>
      <w:pPr>
        <w:pStyle w:val="Heading1"/>
        <w:pageBreakBefore/>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10: Narrative Architecture</w:t>
      </w:r>
    </w:p>
    <w:p>
      <w:pPr>
        <w:pStyle w:val="Heading2"/>
        <w:spacing w:after="80" w:before="320" w:line="288" w:lineRule="auto"/>
        <w:jc w:val="left"/>
      </w:pPr>
      <w:r>
        <w:rPr>
          <w:rFonts w:ascii="Arial" w:cs="Arial" w:eastAsia="Arial" w:hAnsi="Arial"/>
          <w:b/>
          <w:bCs/>
          <w:i w:val="false"/>
          <w:iCs w:val="false"/>
          <w:color w:val="1A1A1A"/>
          <w:sz w:val="28"/>
          <w:szCs w:val="28"/>
        </w:rPr>
        <w:t xml:space="preserve">Document Types</w:t>
      </w:r>
    </w:p>
    <w:p>
      <w:pPr>
        <w:spacing w:after="80" w:before="0"/>
        <w:jc w:val="both"/>
      </w:pPr>
      <w:r>
        <w:rPr>
          <w:rFonts w:ascii="Arial" w:cs="Arial" w:eastAsia="Arial" w:hAnsi="Arial"/>
          <w:b w:val="false"/>
          <w:bCs w:val="false"/>
          <w:i w:val="false"/>
          <w:iCs w:val="false"/>
          <w:color w:val="1A1A1A"/>
          <w:sz w:val="20"/>
          <w:szCs w:val="20"/>
        </w:rPr>
        <w:t xml:space="preserve"/>
      </w:r>
    </w:p>
    <w:p>
      <w:pPr>
        <w:pStyle w:val="Heading3"/>
        <w:spacing w:after="80" w:before="240" w:line="288" w:lineRule="auto"/>
        <w:jc w:val="left"/>
      </w:pPr>
      <w:r>
        <w:rPr>
          <w:rFonts w:ascii="Arial" w:cs="Arial" w:eastAsia="Arial" w:hAnsi="Arial"/>
          <w:b/>
          <w:bCs/>
          <w:i w:val="false"/>
          <w:iCs w:val="false"/>
          <w:color w:val="1A1A1A"/>
          <w:sz w:val="22"/>
          <w:szCs w:val="22"/>
        </w:rPr>
        <w:t xml:space="preserve">1. Investment Opportunity Deck</w:t>
      </w:r>
    </w:p>
    <w:p>
      <w:pPr>
        <w:spacing w:after="160" w:before="0" w:line="288" w:lineRule="auto"/>
        <w:jc w:val="both"/>
      </w:pPr>
      <w:r>
        <w:rPr>
          <w:rFonts w:ascii="Arial" w:cs="Arial" w:eastAsia="Arial" w:hAnsi="Arial"/>
          <w:b w:val="false"/>
          <w:bCs w:val="false"/>
          <w:i w:val="false"/>
          <w:iCs w:val="false"/>
          <w:color w:val="1A1A1A"/>
          <w:sz w:val="20"/>
          <w:szCs w:val="20"/>
        </w:rPr>
        <w:t xml:space="preserve">Purpose: Persuade investors to commit capital to Unlock the company. Pattern: Problem → Solution → Product → Market → Business Model → Traction → Offer → Ask. Format: slides, 16:9, ~20–23 slides. Headline test: reading only the slide titles in order should tell the full story.</w:t>
      </w:r>
    </w:p>
    <w:p>
      <w:pPr>
        <w:pStyle w:val="Heading3"/>
        <w:spacing w:after="80" w:before="240" w:line="288" w:lineRule="auto"/>
        <w:jc w:val="left"/>
      </w:pPr>
      <w:r>
        <w:rPr>
          <w:rFonts w:ascii="Arial" w:cs="Arial" w:eastAsia="Arial" w:hAnsi="Arial"/>
          <w:b/>
          <w:bCs/>
          <w:i w:val="false"/>
          <w:iCs w:val="false"/>
          <w:color w:val="1A1A1A"/>
          <w:sz w:val="22"/>
          <w:szCs w:val="22"/>
        </w:rPr>
        <w:t xml:space="preserve">2. Access Framework</w:t>
      </w:r>
    </w:p>
    <w:p>
      <w:pPr>
        <w:spacing w:after="160" w:before="0" w:line="288" w:lineRule="auto"/>
        <w:jc w:val="both"/>
      </w:pPr>
      <w:r>
        <w:rPr>
          <w:rFonts w:ascii="Arial" w:cs="Arial" w:eastAsia="Arial" w:hAnsi="Arial"/>
          <w:b w:val="false"/>
          <w:bCs w:val="false"/>
          <w:i w:val="false"/>
          <w:iCs w:val="false"/>
          <w:color w:val="1A1A1A"/>
          <w:sz w:val="20"/>
          <w:szCs w:val="20"/>
        </w:rPr>
        <w:t xml:space="preserve">Purpose: Establish Unlock Access's investment evaluation methodology. The credibility document. Pattern: Context → Distinction → Framework → Domains (People / Strategy / Execution / Cash) → Investor Qualification → Risk. Format: long-form A4, ~34 pages.</w:t>
      </w:r>
    </w:p>
    <w:p>
      <w:pPr>
        <w:pStyle w:val="Heading3"/>
        <w:spacing w:after="80" w:before="240" w:line="288" w:lineRule="auto"/>
        <w:jc w:val="left"/>
      </w:pPr>
      <w:r>
        <w:rPr>
          <w:rFonts w:ascii="Arial" w:cs="Arial" w:eastAsia="Arial" w:hAnsi="Arial"/>
          <w:b/>
          <w:bCs/>
          <w:i w:val="false"/>
          <w:iCs w:val="false"/>
          <w:color w:val="1A1A1A"/>
          <w:sz w:val="22"/>
          <w:szCs w:val="22"/>
        </w:rPr>
        <w:t xml:space="preserve">3. The Case for EIS</w:t>
      </w:r>
    </w:p>
    <w:p>
      <w:pPr>
        <w:spacing w:after="160" w:before="0" w:line="288" w:lineRule="auto"/>
        <w:jc w:val="both"/>
      </w:pPr>
      <w:r>
        <w:rPr>
          <w:rFonts w:ascii="Arial" w:cs="Arial" w:eastAsia="Arial" w:hAnsi="Arial"/>
          <w:b w:val="false"/>
          <w:bCs w:val="false"/>
          <w:i w:val="false"/>
          <w:iCs w:val="false"/>
          <w:color w:val="1A1A1A"/>
          <w:sz w:val="20"/>
          <w:szCs w:val="20"/>
        </w:rPr>
        <w:t xml:space="preserve">Purpose: Make the argument for EIS as an asset class; qualify the reader. Distinctive feature: opens with a checkbox self-qualification exercise. Pattern: Self-qualification → Four reliefs → Investor profiles → Mechanics → Risk → Why now. Format: long-form A4, ~23 pages.</w:t>
      </w:r>
    </w:p>
    <w:p>
      <w:pPr>
        <w:pStyle w:val="Heading3"/>
        <w:spacing w:after="80" w:before="240" w:line="288" w:lineRule="auto"/>
        <w:jc w:val="left"/>
      </w:pPr>
      <w:r>
        <w:rPr>
          <w:rFonts w:ascii="Arial" w:cs="Arial" w:eastAsia="Arial" w:hAnsi="Arial"/>
          <w:b/>
          <w:bCs/>
          <w:i w:val="false"/>
          <w:iCs w:val="false"/>
          <w:color w:val="1A1A1A"/>
          <w:sz w:val="22"/>
          <w:szCs w:val="22"/>
        </w:rPr>
        <w:t xml:space="preserve">4. Product Factsheets</w:t>
      </w:r>
    </w:p>
    <w:p>
      <w:pPr>
        <w:spacing w:after="160" w:before="0" w:line="288" w:lineRule="auto"/>
        <w:jc w:val="both"/>
      </w:pPr>
      <w:r>
        <w:rPr>
          <w:rFonts w:ascii="Arial" w:cs="Arial" w:eastAsia="Arial" w:hAnsi="Arial"/>
          <w:b w:val="false"/>
          <w:bCs w:val="false"/>
          <w:i w:val="false"/>
          <w:iCs w:val="false"/>
          <w:color w:val="1A1A1A"/>
          <w:sz w:val="20"/>
          <w:szCs w:val="20"/>
        </w:rPr>
        <w:t xml:space="preserve">Purpose: Quick-read leave-behind for warm prospects. Pattern: What it is → What it does → Why nothing else does it → How to access it. Format: short A4, 4–6 pages.</w:t>
      </w:r>
    </w:p>
    <w:p>
      <w:pPr>
        <w:pStyle w:val="Heading3"/>
        <w:spacing w:after="80" w:before="240" w:line="288" w:lineRule="auto"/>
        <w:jc w:val="left"/>
      </w:pPr>
      <w:r>
        <w:rPr>
          <w:rFonts w:ascii="Arial" w:cs="Arial" w:eastAsia="Arial" w:hAnsi="Arial"/>
          <w:b/>
          <w:bCs/>
          <w:i w:val="false"/>
          <w:iCs w:val="false"/>
          <w:color w:val="1A1A1A"/>
          <w:sz w:val="22"/>
          <w:szCs w:val="22"/>
        </w:rPr>
        <w:t xml:space="preserve">5. Workshop Documents</w:t>
      </w:r>
    </w:p>
    <w:p>
      <w:pPr>
        <w:spacing w:after="160" w:before="0" w:line="288" w:lineRule="auto"/>
        <w:jc w:val="both"/>
      </w:pPr>
      <w:r>
        <w:rPr>
          <w:rFonts w:ascii="Arial" w:cs="Arial" w:eastAsia="Arial" w:hAnsi="Arial"/>
          <w:b w:val="false"/>
          <w:bCs w:val="false"/>
          <w:i w:val="false"/>
          <w:iCs w:val="false"/>
          <w:color w:val="1A1A1A"/>
          <w:sz w:val="20"/>
          <w:szCs w:val="20"/>
        </w:rPr>
        <w:t xml:space="preserve">Purpose: Internal decision framework. Pattern: Decided → Current Thinking → Open — each with rationale and status. Format: internal only, lighter brand governance.</w:t>
      </w:r>
    </w:p>
    <w:p>
      <w:pPr>
        <w:spacing w:after="16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Cover Page Architecture</w:t>
      </w:r>
    </w:p>
    <w:p>
      <w:pPr>
        <w:spacing w:after="160" w:before="0" w:line="288" w:lineRule="auto"/>
        <w:jc w:val="both"/>
      </w:pPr>
      <w:r>
        <w:rPr>
          <w:rFonts w:ascii="Arial" w:cs="Arial" w:eastAsia="Arial" w:hAnsi="Arial"/>
          <w:b w:val="false"/>
          <w:bCs w:val="false"/>
          <w:i w:val="false"/>
          <w:iCs w:val="false"/>
          <w:color w:val="1A1A1A"/>
          <w:sz w:val="20"/>
          <w:szCs w:val="20"/>
        </w:rPr>
        <w:t xml:space="preserve">All long-form documents follow this identical cover structure:</w:t>
      </w:r>
    </w:p>
    <w:p>
      <w:pPr>
        <w:pBdr>
          <w:top w:val="single" w:color="01BC77" w:sz="10" w:space="8"/>
        </w:pBdr>
        <w:spacing w:after="40" w:before="160"/>
        <w:jc w:val="left"/>
      </w:pPr>
      <w:r>
        <w:rPr>
          <w:rFonts w:ascii="Arial" w:cs="Arial" w:eastAsia="Arial" w:hAnsi="Arial"/>
          <w:b/>
          <w:bCs/>
          <w:i/>
          <w:iCs/>
          <w:color w:val="008655"/>
          <w:sz w:val="18"/>
          <w:szCs w:val="18"/>
        </w:rPr>
        <w:t xml:space="preserve">Cover template:</w:t>
      </w:r>
    </w:p>
    <w:p>
      <w:pPr>
        <w:pBdr>
          <w:bottom w:val="single" w:color="01BC77" w:sz="10" w:space="8"/>
        </w:pBdr>
        <w:spacing w:after="160" w:before="0"/>
        <w:ind w:left="360"/>
        <w:jc w:val="both"/>
      </w:pPr>
      <w:r>
        <w:rPr>
          <w:rFonts w:ascii="Arial" w:cs="Arial" w:eastAsia="Arial" w:hAnsi="Arial"/>
          <w:b w:val="false"/>
          <w:bCs w:val="false"/>
          <w:i w:val="false"/>
          <w:iCs w:val="false"/>
          <w:color w:val="1A1A1A"/>
          <w:sz w:val="18"/>
          <w:szCs w:val="18"/>
        </w:rPr>
        <w:t xml:space="preserve">Large wordmark (logodark.png), centred, upper half of page → Document category in near-black regular weight (e.g. 'Access') → Document title in Text Green #008655 (e.g. 'The Case for EIS 2026') → Sub-tagline in near-black lighter weight → Date centred at foot. No page number on cover. No isotype. No photography. No colour except Text Green on the title line.</w:t>
      </w:r>
    </w:p>
    <w:p>
      <w:pPr>
        <w:spacing w:after="80" w:before="0"/>
        <w:jc w:val="both"/>
      </w:pPr>
      <w:r>
        <w:rPr>
          <w:rFonts w:ascii="Arial" w:cs="Arial" w:eastAsia="Arial" w:hAnsi="Arial"/>
          <w:b w:val="false"/>
          <w:bCs w:val="false"/>
          <w:i w:val="false"/>
          <w:iCs w:val="false"/>
          <w:color w:val="1A1A1A"/>
          <w:sz w:val="20"/>
          <w:szCs w:val="20"/>
        </w:rPr>
        <w:t xml:space="preserve"/>
      </w:r>
    </w:p>
    <w:p>
      <w:pPr>
        <w:pStyle w:val="Heading1"/>
        <w:pageBreakBefore/>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11: Quality Checks</w:t>
      </w:r>
    </w:p>
    <w:p>
      <w:pPr>
        <w:spacing w:after="160" w:before="0" w:line="288" w:lineRule="auto"/>
        <w:jc w:val="both"/>
      </w:pPr>
      <w:r>
        <w:rPr>
          <w:rFonts w:ascii="Arial" w:cs="Arial" w:eastAsia="Arial" w:hAnsi="Arial"/>
          <w:b w:val="false"/>
          <w:bCs w:val="false"/>
          <w:i w:val="false"/>
          <w:iCs w:val="false"/>
          <w:color w:val="1A1A1A"/>
          <w:sz w:val="20"/>
          <w:szCs w:val="20"/>
        </w:rPr>
        <w:t xml:space="preserve">Run all applicable checks before any document is distributed externally.</w:t>
      </w:r>
    </w:p>
    <w:p>
      <w:pPr>
        <w:spacing w:after="8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1. The Argument Check</w:t>
      </w:r>
    </w:p>
    <w:p>
      <w:pPr>
        <w:spacing w:after="120" w:before="0" w:line="288" w:lineRule="auto"/>
        <w:jc w:val="left"/>
      </w:pPr>
      <w:r>
        <w:rPr>
          <w:rFonts w:ascii="Arial" w:cs="Arial" w:eastAsia="Arial" w:hAnsi="Arial"/>
          <w:b w:val="false"/>
          <w:bCs w:val="false"/>
          <w:i w:val="false"/>
          <w:iCs w:val="false"/>
          <w:color w:val="1A1A1A"/>
          <w:sz w:val="20"/>
          <w:szCs w:val="20"/>
        </w:rPr>
        <w:t xml:space="preserve">Can the core argument be stated in one sentence?</w:t>
      </w:r>
    </w:p>
    <w:p>
      <w:pPr>
        <w:spacing w:after="120" w:before="0" w:line="288" w:lineRule="auto"/>
        <w:jc w:val="left"/>
      </w:pPr>
      <w:r>
        <w:rPr>
          <w:rFonts w:ascii="Arial" w:cs="Arial" w:eastAsia="Arial" w:hAnsi="Arial"/>
          <w:b w:val="false"/>
          <w:bCs w:val="false"/>
          <w:i w:val="false"/>
          <w:iCs w:val="false"/>
          <w:color w:val="1A1A1A"/>
          <w:sz w:val="20"/>
          <w:szCs w:val="20"/>
        </w:rPr>
        <w:t xml:space="preserve">Is the downside stated before the upside?</w:t>
      </w:r>
    </w:p>
    <w:p>
      <w:pPr>
        <w:spacing w:after="120" w:before="0" w:line="288" w:lineRule="auto"/>
        <w:jc w:val="left"/>
      </w:pPr>
      <w:r>
        <w:rPr>
          <w:rFonts w:ascii="Arial" w:cs="Arial" w:eastAsia="Arial" w:hAnsi="Arial"/>
          <w:b w:val="false"/>
          <w:bCs w:val="false"/>
          <w:i w:val="false"/>
          <w:iCs w:val="false"/>
          <w:color w:val="1A1A1A"/>
          <w:sz w:val="20"/>
          <w:szCs w:val="20"/>
        </w:rPr>
        <w:t xml:space="preserve">Does every section advance the argument?</w:t>
      </w:r>
    </w:p>
    <w:p>
      <w:pPr>
        <w:pStyle w:val="Heading2"/>
        <w:spacing w:after="80" w:before="320" w:line="288" w:lineRule="auto"/>
        <w:jc w:val="left"/>
      </w:pPr>
      <w:r>
        <w:rPr>
          <w:rFonts w:ascii="Arial" w:cs="Arial" w:eastAsia="Arial" w:hAnsi="Arial"/>
          <w:b/>
          <w:bCs/>
          <w:i w:val="false"/>
          <w:iCs w:val="false"/>
          <w:color w:val="1A1A1A"/>
          <w:sz w:val="28"/>
          <w:szCs w:val="28"/>
        </w:rPr>
        <w:t xml:space="preserve">2. The Green Check</w:t>
      </w:r>
    </w:p>
    <w:p>
      <w:pPr>
        <w:spacing w:after="120" w:before="0" w:line="288" w:lineRule="auto"/>
        <w:jc w:val="left"/>
      </w:pPr>
      <w:r>
        <w:rPr>
          <w:rFonts w:ascii="Arial" w:cs="Arial" w:eastAsia="Arial" w:hAnsi="Arial"/>
          <w:b w:val="false"/>
          <w:bCs w:val="false"/>
          <w:i w:val="false"/>
          <w:iCs w:val="false"/>
          <w:color w:val="1A1A1A"/>
          <w:sz w:val="20"/>
          <w:szCs w:val="20"/>
        </w:rPr>
        <w:t xml:space="preserve">Is every Brand Green use a fill or graphic element — never body text?</w:t>
      </w:r>
    </w:p>
    <w:p>
      <w:pPr>
        <w:spacing w:after="120" w:before="0" w:line="288" w:lineRule="auto"/>
        <w:jc w:val="left"/>
      </w:pPr>
      <w:r>
        <w:rPr>
          <w:rFonts w:ascii="Arial" w:cs="Arial" w:eastAsia="Arial" w:hAnsi="Arial"/>
          <w:b w:val="false"/>
          <w:bCs w:val="false"/>
          <w:i w:val="false"/>
          <w:iCs w:val="false"/>
          <w:color w:val="1A1A1A"/>
          <w:sz w:val="20"/>
          <w:szCs w:val="20"/>
        </w:rPr>
        <w:t xml:space="preserve">Is every text use of green the Text Green #008655?</w:t>
      </w:r>
    </w:p>
    <w:p>
      <w:pPr>
        <w:spacing w:after="120" w:before="0" w:line="288" w:lineRule="auto"/>
        <w:jc w:val="left"/>
      </w:pPr>
      <w:r>
        <w:rPr>
          <w:rFonts w:ascii="Arial" w:cs="Arial" w:eastAsia="Arial" w:hAnsi="Arial"/>
          <w:b w:val="false"/>
          <w:bCs w:val="false"/>
          <w:i w:val="false"/>
          <w:iCs w:val="false"/>
          <w:color w:val="1A1A1A"/>
          <w:sz w:val="20"/>
          <w:szCs w:val="20"/>
        </w:rPr>
        <w:t xml:space="preserve">Does each green element mark structure or the Unlock position — never decoration?</w:t>
      </w:r>
    </w:p>
    <w:p>
      <w:pPr>
        <w:pStyle w:val="Heading2"/>
        <w:spacing w:after="80" w:before="320" w:line="288" w:lineRule="auto"/>
        <w:jc w:val="left"/>
      </w:pPr>
      <w:r>
        <w:rPr>
          <w:rFonts w:ascii="Arial" w:cs="Arial" w:eastAsia="Arial" w:hAnsi="Arial"/>
          <w:b/>
          <w:bCs/>
          <w:i w:val="false"/>
          <w:iCs w:val="false"/>
          <w:color w:val="1A1A1A"/>
          <w:sz w:val="28"/>
          <w:szCs w:val="28"/>
        </w:rPr>
        <w:t xml:space="preserve">3. The Logo Check</w:t>
      </w:r>
    </w:p>
    <w:p>
      <w:pPr>
        <w:spacing w:after="120" w:before="0" w:line="288" w:lineRule="auto"/>
        <w:jc w:val="left"/>
      </w:pPr>
      <w:r>
        <w:rPr>
          <w:rFonts w:ascii="Arial" w:cs="Arial" w:eastAsia="Arial" w:hAnsi="Arial"/>
          <w:b w:val="false"/>
          <w:bCs w:val="false"/>
          <w:i w:val="false"/>
          <w:iCs w:val="false"/>
          <w:color w:val="1A1A1A"/>
          <w:sz w:val="20"/>
          <w:szCs w:val="20"/>
        </w:rPr>
        <w:t xml:space="preserve">Does the full wordmark appear only on the cover page?</w:t>
      </w:r>
    </w:p>
    <w:p>
      <w:pPr>
        <w:spacing w:after="120" w:before="0" w:line="288" w:lineRule="auto"/>
        <w:jc w:val="left"/>
      </w:pPr>
      <w:r>
        <w:rPr>
          <w:rFonts w:ascii="Arial" w:cs="Arial" w:eastAsia="Arial" w:hAnsi="Arial"/>
          <w:b w:val="false"/>
          <w:bCs w:val="false"/>
          <w:i w:val="false"/>
          <w:iCs w:val="false"/>
          <w:color w:val="1A1A1A"/>
          <w:sz w:val="20"/>
          <w:szCs w:val="20"/>
        </w:rPr>
        <w:t xml:space="preserve">Is the correct isotype version used for the surface (dark/white/green)?</w:t>
      </w:r>
    </w:p>
    <w:p>
      <w:pPr>
        <w:spacing w:after="120" w:before="0" w:line="288" w:lineRule="auto"/>
        <w:jc w:val="left"/>
      </w:pPr>
      <w:r>
        <w:rPr>
          <w:rFonts w:ascii="Arial" w:cs="Arial" w:eastAsia="Arial" w:hAnsi="Arial"/>
          <w:b w:val="false"/>
          <w:bCs w:val="false"/>
          <w:i w:val="false"/>
          <w:iCs w:val="false"/>
          <w:color w:val="1A1A1A"/>
          <w:sz w:val="20"/>
          <w:szCs w:val="20"/>
        </w:rPr>
        <w:t xml:space="preserve">Is the logo placed on a background matching its baked-in background colour?</w:t>
      </w:r>
    </w:p>
    <w:p>
      <w:pPr>
        <w:pStyle w:val="Heading2"/>
        <w:spacing w:after="80" w:before="320" w:line="288" w:lineRule="auto"/>
        <w:jc w:val="left"/>
      </w:pPr>
      <w:r>
        <w:rPr>
          <w:rFonts w:ascii="Arial" w:cs="Arial" w:eastAsia="Arial" w:hAnsi="Arial"/>
          <w:b/>
          <w:bCs/>
          <w:i w:val="false"/>
          <w:iCs w:val="false"/>
          <w:color w:val="1A1A1A"/>
          <w:sz w:val="28"/>
          <w:szCs w:val="28"/>
        </w:rPr>
        <w:t xml:space="preserve">4. The Colour Check</w:t>
      </w:r>
    </w:p>
    <w:p>
      <w:pPr>
        <w:spacing w:after="120" w:before="0" w:line="288" w:lineRule="auto"/>
        <w:jc w:val="left"/>
      </w:pPr>
      <w:r>
        <w:rPr>
          <w:rFonts w:ascii="Arial" w:cs="Arial" w:eastAsia="Arial" w:hAnsi="Arial"/>
          <w:b w:val="false"/>
          <w:bCs w:val="false"/>
          <w:i w:val="false"/>
          <w:iCs w:val="false"/>
          <w:color w:val="1A1A1A"/>
          <w:sz w:val="20"/>
          <w:szCs w:val="20"/>
        </w:rPr>
        <w:t xml:space="preserve">Is white text ever placed on Brand Green #01BC77? If yes — fix it.</w:t>
      </w:r>
    </w:p>
    <w:p>
      <w:pPr>
        <w:spacing w:after="120" w:before="0" w:line="288" w:lineRule="auto"/>
        <w:jc w:val="left"/>
      </w:pPr>
      <w:r>
        <w:rPr>
          <w:rFonts w:ascii="Arial" w:cs="Arial" w:eastAsia="Arial" w:hAnsi="Arial"/>
          <w:b w:val="false"/>
          <w:bCs w:val="false"/>
          <w:i w:val="false"/>
          <w:iCs w:val="false"/>
          <w:color w:val="1A1A1A"/>
          <w:sz w:val="20"/>
          <w:szCs w:val="20"/>
        </w:rPr>
        <w:t xml:space="preserve">Do Status Amber or Red appear anywhere outside a portfolio or operational document? If yes — remove them.</w:t>
      </w:r>
    </w:p>
    <w:p>
      <w:pPr>
        <w:spacing w:after="120" w:before="0" w:line="288" w:lineRule="auto"/>
        <w:jc w:val="left"/>
      </w:pPr>
      <w:r>
        <w:rPr>
          <w:rFonts w:ascii="Arial" w:cs="Arial" w:eastAsia="Arial" w:hAnsi="Arial"/>
          <w:b w:val="false"/>
          <w:bCs w:val="false"/>
          <w:i w:val="false"/>
          <w:iCs w:val="false"/>
          <w:color w:val="1A1A1A"/>
          <w:sz w:val="20"/>
          <w:szCs w:val="20"/>
        </w:rPr>
        <w:t xml:space="preserve">Is cream used in any long-form document? If yes — change to white.</w:t>
      </w:r>
    </w:p>
    <w:p>
      <w:pPr>
        <w:pStyle w:val="Heading2"/>
        <w:spacing w:after="80" w:before="320" w:line="288" w:lineRule="auto"/>
        <w:jc w:val="left"/>
      </w:pPr>
      <w:r>
        <w:rPr>
          <w:rFonts w:ascii="Arial" w:cs="Arial" w:eastAsia="Arial" w:hAnsi="Arial"/>
          <w:b/>
          <w:bCs/>
          <w:i w:val="false"/>
          <w:iCs w:val="false"/>
          <w:color w:val="1A1A1A"/>
          <w:sz w:val="28"/>
          <w:szCs w:val="28"/>
        </w:rPr>
        <w:t xml:space="preserve">5. The Number Check</w:t>
      </w:r>
    </w:p>
    <w:p>
      <w:pPr>
        <w:spacing w:after="120" w:before="0" w:line="288" w:lineRule="auto"/>
        <w:jc w:val="left"/>
      </w:pPr>
      <w:r>
        <w:rPr>
          <w:rFonts w:ascii="Arial" w:cs="Arial" w:eastAsia="Arial" w:hAnsi="Arial"/>
          <w:b w:val="false"/>
          <w:bCs w:val="false"/>
          <w:i w:val="false"/>
          <w:iCs w:val="false"/>
          <w:color w:val="1A1A1A"/>
          <w:sz w:val="20"/>
          <w:szCs w:val="20"/>
        </w:rPr>
        <w:t xml:space="preserve">Every figure specific rather than approximate?</w:t>
      </w:r>
    </w:p>
    <w:p>
      <w:pPr>
        <w:spacing w:after="120" w:before="0" w:line="288" w:lineRule="auto"/>
        <w:jc w:val="left"/>
      </w:pPr>
      <w:r>
        <w:rPr>
          <w:rFonts w:ascii="Arial" w:cs="Arial" w:eastAsia="Arial" w:hAnsi="Arial"/>
          <w:b w:val="false"/>
          <w:bCs w:val="false"/>
          <w:i w:val="false"/>
          <w:iCs w:val="false"/>
          <w:color w:val="1A1A1A"/>
          <w:sz w:val="20"/>
          <w:szCs w:val="20"/>
        </w:rPr>
        <w:t xml:space="preserve">Large numbers abbreviated consistently (£34B+ not £34,000,000,000)?</w:t>
      </w:r>
    </w:p>
    <w:p>
      <w:pPr>
        <w:spacing w:after="120" w:before="0" w:line="288" w:lineRule="auto"/>
        <w:jc w:val="left"/>
      </w:pPr>
      <w:r>
        <w:rPr>
          <w:rFonts w:ascii="Arial" w:cs="Arial" w:eastAsia="Arial" w:hAnsi="Arial"/>
          <w:b w:val="false"/>
          <w:bCs w:val="false"/>
          <w:i w:val="false"/>
          <w:iCs w:val="false"/>
          <w:color w:val="1A1A1A"/>
          <w:sz w:val="20"/>
          <w:szCs w:val="20"/>
        </w:rPr>
        <w:t xml:space="preserve">Every time-sensitive figure carries a date or source?</w:t>
      </w:r>
    </w:p>
    <w:p>
      <w:pPr>
        <w:pStyle w:val="Heading2"/>
        <w:spacing w:after="80" w:before="320" w:line="288" w:lineRule="auto"/>
        <w:jc w:val="left"/>
      </w:pPr>
      <w:r>
        <w:rPr>
          <w:rFonts w:ascii="Arial" w:cs="Arial" w:eastAsia="Arial" w:hAnsi="Arial"/>
          <w:b/>
          <w:bCs/>
          <w:i w:val="false"/>
          <w:iCs w:val="false"/>
          <w:color w:val="1A1A1A"/>
          <w:sz w:val="28"/>
          <w:szCs w:val="28"/>
        </w:rPr>
        <w:t xml:space="preserve">6. The Prose Check</w:t>
      </w:r>
    </w:p>
    <w:p>
      <w:pPr>
        <w:spacing w:after="120" w:before="0" w:line="288" w:lineRule="auto"/>
        <w:jc w:val="left"/>
      </w:pPr>
      <w:r>
        <w:rPr>
          <w:rFonts w:ascii="Arial" w:cs="Arial" w:eastAsia="Arial" w:hAnsi="Arial"/>
          <w:b w:val="false"/>
          <w:bCs w:val="false"/>
          <w:i w:val="false"/>
          <w:iCs w:val="false"/>
          <w:color w:val="1A1A1A"/>
          <w:sz w:val="20"/>
          <w:szCs w:val="20"/>
        </w:rPr>
        <w:t xml:space="preserve">Bullet points in a long-form section where prose should be? Rewrite.</w:t>
      </w:r>
    </w:p>
    <w:p>
      <w:pPr>
        <w:spacing w:after="120" w:before="0" w:line="288" w:lineRule="auto"/>
        <w:jc w:val="left"/>
      </w:pPr>
      <w:r>
        <w:rPr>
          <w:rFonts w:ascii="Arial" w:cs="Arial" w:eastAsia="Arial" w:hAnsi="Arial"/>
          <w:b w:val="false"/>
          <w:bCs w:val="false"/>
          <w:i w:val="false"/>
          <w:iCs w:val="false"/>
          <w:color w:val="1A1A1A"/>
          <w:sz w:val="20"/>
          <w:szCs w:val="20"/>
        </w:rPr>
        <w:t xml:space="preserve">Every paragraph opens with its topic sentence?</w:t>
      </w:r>
    </w:p>
    <w:p>
      <w:pPr>
        <w:spacing w:after="120" w:before="0" w:line="288" w:lineRule="auto"/>
        <w:jc w:val="left"/>
      </w:pPr>
      <w:r>
        <w:rPr>
          <w:rFonts w:ascii="Arial" w:cs="Arial" w:eastAsia="Arial" w:hAnsi="Arial"/>
          <w:b w:val="false"/>
          <w:bCs w:val="false"/>
          <w:i w:val="false"/>
          <w:iCs w:val="false"/>
          <w:color w:val="1A1A1A"/>
          <w:sz w:val="20"/>
          <w:szCs w:val="20"/>
        </w:rPr>
        <w:t xml:space="preserve">Em dashes used for parenthetical clauses — not commas?</w:t>
      </w:r>
    </w:p>
    <w:p>
      <w:pPr>
        <w:spacing w:after="120" w:before="0" w:line="288" w:lineRule="auto"/>
        <w:jc w:val="left"/>
      </w:pPr>
      <w:r>
        <w:rPr>
          <w:rFonts w:ascii="Arial" w:cs="Arial" w:eastAsia="Arial" w:hAnsi="Arial"/>
          <w:b w:val="false"/>
          <w:bCs w:val="false"/>
          <w:i w:val="false"/>
          <w:iCs w:val="false"/>
          <w:color w:val="1A1A1A"/>
          <w:sz w:val="20"/>
          <w:szCs w:val="20"/>
        </w:rPr>
        <w:t xml:space="preserve">Risks stated before opportunities?</w:t>
      </w:r>
    </w:p>
    <w:p>
      <w:pPr>
        <w:pStyle w:val="Heading2"/>
        <w:spacing w:after="80" w:before="320" w:line="288" w:lineRule="auto"/>
        <w:jc w:val="left"/>
      </w:pPr>
      <w:r>
        <w:rPr>
          <w:rFonts w:ascii="Arial" w:cs="Arial" w:eastAsia="Arial" w:hAnsi="Arial"/>
          <w:b/>
          <w:bCs/>
          <w:i w:val="false"/>
          <w:iCs w:val="false"/>
          <w:color w:val="1A1A1A"/>
          <w:sz w:val="28"/>
          <w:szCs w:val="28"/>
        </w:rPr>
        <w:t xml:space="preserve">7. The Table Check</w:t>
      </w:r>
    </w:p>
    <w:p>
      <w:pPr>
        <w:spacing w:after="120" w:before="0" w:line="288" w:lineRule="auto"/>
        <w:jc w:val="left"/>
      </w:pPr>
      <w:r>
        <w:rPr>
          <w:rFonts w:ascii="Arial" w:cs="Arial" w:eastAsia="Arial" w:hAnsi="Arial"/>
          <w:b w:val="false"/>
          <w:bCs w:val="false"/>
          <w:i w:val="false"/>
          <w:iCs w:val="false"/>
          <w:color w:val="1A1A1A"/>
          <w:sz w:val="20"/>
          <w:szCs w:val="20"/>
        </w:rPr>
        <w:t xml:space="preserve">Scoring tables: code in Text Green on black cell; Weight values in Text Green?</w:t>
      </w:r>
    </w:p>
    <w:p>
      <w:pPr>
        <w:spacing w:after="120" w:before="0" w:line="288" w:lineRule="auto"/>
        <w:jc w:val="left"/>
      </w:pPr>
      <w:r>
        <w:rPr>
          <w:rFonts w:ascii="Arial" w:cs="Arial" w:eastAsia="Arial" w:hAnsi="Arial"/>
          <w:b w:val="false"/>
          <w:bCs w:val="false"/>
          <w:i w:val="false"/>
          <w:iCs w:val="false"/>
          <w:color w:val="1A1A1A"/>
          <w:sz w:val="20"/>
          <w:szCs w:val="20"/>
        </w:rPr>
        <w:t xml:space="preserve">Comparison tables: Unlock column uses Brand Green fill with near-black text?</w:t>
      </w:r>
    </w:p>
    <w:p>
      <w:pPr>
        <w:spacing w:after="120" w:before="0" w:line="288" w:lineRule="auto"/>
        <w:jc w:val="left"/>
      </w:pPr>
      <w:r>
        <w:rPr>
          <w:rFonts w:ascii="Arial" w:cs="Arial" w:eastAsia="Arial" w:hAnsi="Arial"/>
          <w:b w:val="false"/>
          <w:bCs w:val="false"/>
          <w:i w:val="false"/>
          <w:iCs w:val="false"/>
          <w:color w:val="1A1A1A"/>
          <w:sz w:val="20"/>
          <w:szCs w:val="20"/>
        </w:rPr>
        <w:t xml:space="preserve">No white text on Brand Green cells?</w:t>
      </w:r>
    </w:p>
    <w:p>
      <w:pPr>
        <w:pStyle w:val="Heading2"/>
        <w:spacing w:after="80" w:before="320" w:line="288" w:lineRule="auto"/>
        <w:jc w:val="left"/>
      </w:pPr>
      <w:r>
        <w:rPr>
          <w:rFonts w:ascii="Arial" w:cs="Arial" w:eastAsia="Arial" w:hAnsi="Arial"/>
          <w:b/>
          <w:bCs/>
          <w:i w:val="false"/>
          <w:iCs w:val="false"/>
          <w:color w:val="1A1A1A"/>
          <w:sz w:val="28"/>
          <w:szCs w:val="28"/>
        </w:rPr>
        <w:t xml:space="preserve">8. The Cover Check</w:t>
      </w:r>
    </w:p>
    <w:p>
      <w:pPr>
        <w:spacing w:after="120" w:before="0" w:line="288" w:lineRule="auto"/>
        <w:jc w:val="left"/>
      </w:pPr>
      <w:r>
        <w:rPr>
          <w:rFonts w:ascii="Arial" w:cs="Arial" w:eastAsia="Arial" w:hAnsi="Arial"/>
          <w:b w:val="false"/>
          <w:bCs w:val="false"/>
          <w:i w:val="false"/>
          <w:iCs w:val="false"/>
          <w:color w:val="1A1A1A"/>
          <w:sz w:val="20"/>
          <w:szCs w:val="20"/>
        </w:rPr>
        <w:t xml:space="preserve">Category line: near-black, regular weight?</w:t>
      </w:r>
    </w:p>
    <w:p>
      <w:pPr>
        <w:spacing w:after="120" w:before="0" w:line="288" w:lineRule="auto"/>
        <w:jc w:val="left"/>
      </w:pPr>
      <w:r>
        <w:rPr>
          <w:rFonts w:ascii="Arial" w:cs="Arial" w:eastAsia="Arial" w:hAnsi="Arial"/>
          <w:b w:val="false"/>
          <w:bCs w:val="false"/>
          <w:i w:val="false"/>
          <w:iCs w:val="false"/>
          <w:color w:val="1A1A1A"/>
          <w:sz w:val="20"/>
          <w:szCs w:val="20"/>
        </w:rPr>
        <w:t xml:space="preserve">Title line: Text Green #008655?</w:t>
      </w:r>
    </w:p>
    <w:p>
      <w:pPr>
        <w:spacing w:after="120" w:before="0" w:line="288" w:lineRule="auto"/>
        <w:jc w:val="left"/>
      </w:pPr>
      <w:r>
        <w:rPr>
          <w:rFonts w:ascii="Arial" w:cs="Arial" w:eastAsia="Arial" w:hAnsi="Arial"/>
          <w:b w:val="false"/>
          <w:bCs w:val="false"/>
          <w:i w:val="false"/>
          <w:iCs w:val="false"/>
          <w:color w:val="1A1A1A"/>
          <w:sz w:val="20"/>
          <w:szCs w:val="20"/>
        </w:rPr>
        <w:t xml:space="preserve">Date: centred at foot?</w:t>
      </w:r>
    </w:p>
    <w:p>
      <w:pPr>
        <w:spacing w:after="120" w:before="0" w:line="288" w:lineRule="auto"/>
        <w:jc w:val="left"/>
      </w:pPr>
      <w:r>
        <w:rPr>
          <w:rFonts w:ascii="Arial" w:cs="Arial" w:eastAsia="Arial" w:hAnsi="Arial"/>
          <w:b w:val="false"/>
          <w:bCs w:val="false"/>
          <w:i w:val="false"/>
          <w:iCs w:val="false"/>
          <w:color w:val="1A1A1A"/>
          <w:sz w:val="20"/>
          <w:szCs w:val="20"/>
        </w:rPr>
        <w:t xml:space="preserve">Full wordmark only — no isotype on cover?</w:t>
      </w:r>
    </w:p>
    <w:p>
      <w:pPr>
        <w:pStyle w:val="Heading2"/>
        <w:spacing w:after="80" w:before="320" w:line="288" w:lineRule="auto"/>
        <w:jc w:val="left"/>
      </w:pPr>
      <w:r>
        <w:rPr>
          <w:rFonts w:ascii="Arial" w:cs="Arial" w:eastAsia="Arial" w:hAnsi="Arial"/>
          <w:b/>
          <w:bCs/>
          <w:i w:val="false"/>
          <w:iCs w:val="false"/>
          <w:color w:val="1A1A1A"/>
          <w:sz w:val="28"/>
          <w:szCs w:val="28"/>
        </w:rPr>
        <w:t xml:space="preserve">9. The Confidentiality Check</w:t>
      </w:r>
    </w:p>
    <w:p>
      <w:pPr>
        <w:spacing w:after="120" w:before="0" w:line="288" w:lineRule="auto"/>
        <w:jc w:val="left"/>
      </w:pPr>
      <w:r>
        <w:rPr>
          <w:rFonts w:ascii="Arial" w:cs="Arial" w:eastAsia="Arial" w:hAnsi="Arial"/>
          <w:b w:val="false"/>
          <w:bCs w:val="false"/>
          <w:i w:val="false"/>
          <w:iCs w:val="false"/>
          <w:color w:val="1A1A1A"/>
          <w:sz w:val="20"/>
          <w:szCs w:val="20"/>
        </w:rPr>
        <w:t xml:space="preserve">Does the document contain investment information regulated under the FPO?</w:t>
      </w:r>
    </w:p>
    <w:p>
      <w:pPr>
        <w:spacing w:after="120" w:before="0" w:line="288" w:lineRule="auto"/>
        <w:jc w:val="left"/>
      </w:pPr>
      <w:r>
        <w:rPr>
          <w:rFonts w:ascii="Arial" w:cs="Arial" w:eastAsia="Arial" w:hAnsi="Arial"/>
          <w:b w:val="false"/>
          <w:bCs w:val="false"/>
          <w:i w:val="false"/>
          <w:iCs w:val="false"/>
          <w:color w:val="1A1A1A"/>
          <w:sz w:val="20"/>
          <w:szCs w:val="20"/>
        </w:rPr>
        <w:t xml:space="preserve">If yes: is the regulatory disclaimer present on the inside cover or final page?</w:t>
      </w:r>
    </w:p>
    <w:p>
      <w:pPr>
        <w:pStyle w:val="Heading1"/>
        <w:pageBreakBefore/>
        <w:pBdr>
          <w:bottom w:val="single" w:color="01BC77" w:sz="8" w:space="8"/>
        </w:pBdr>
        <w:spacing w:after="160" w:before="480" w:line="288" w:lineRule="auto"/>
        <w:jc w:val="left"/>
      </w:pPr>
      <w:r>
        <w:rPr>
          <w:rFonts w:ascii="Arial" w:cs="Arial" w:eastAsia="Arial" w:hAnsi="Arial"/>
          <w:b/>
          <w:bCs/>
          <w:i w:val="false"/>
          <w:iCs w:val="false"/>
          <w:color w:val="1A1A1A"/>
          <w:sz w:val="40"/>
          <w:szCs w:val="40"/>
        </w:rPr>
        <w:t xml:space="preserve">Part 12: Open Items</w:t>
      </w:r>
    </w:p>
    <w:p>
      <w:pPr>
        <w:spacing w:after="160" w:before="0" w:line="288" w:lineRule="auto"/>
        <w:jc w:val="both"/>
      </w:pPr>
      <w:r>
        <w:rPr>
          <w:rFonts w:ascii="Arial" w:cs="Arial" w:eastAsia="Arial" w:hAnsi="Arial"/>
          <w:b w:val="false"/>
          <w:bCs w:val="false"/>
          <w:i w:val="false"/>
          <w:iCs w:val="false"/>
          <w:color w:val="1A1A1A"/>
          <w:sz w:val="20"/>
          <w:szCs w:val="20"/>
        </w:rPr>
        <w:t xml:space="preserve">These items have been decided in principle and require only implementation.</w:t>
      </w:r>
    </w:p>
    <w:p>
      <w:pPr>
        <w:spacing w:after="80" w:before="0"/>
        <w:jc w:val="both"/>
      </w:pPr>
      <w:r>
        <w:rPr>
          <w:rFonts w:ascii="Arial" w:cs="Arial" w:eastAsia="Arial" w:hAnsi="Arial"/>
          <w:b w:val="false"/>
          <w:bCs w:val="false"/>
          <w:i w:val="false"/>
          <w:iCs w:val="false"/>
          <w:color w:val="1A1A1A"/>
          <w:sz w:val="20"/>
          <w:szCs w:val="20"/>
        </w:rPr>
        <w:t xml:space="preserve"/>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32"/>
      </w:tblGrid>
      <w:tr>
        <w:trPr>
          <w:tblHeader/>
        </w:trPr>
        <w:tc>
          <w:tcPr>
            <w:tcW w:type="dxa" w:w="2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Item</w:t>
            </w:r>
          </w:p>
        </w:tc>
        <w:tc>
          <w:tcPr>
            <w:tcW w:type="dxa" w:w="24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Decision</w:t>
            </w:r>
          </w:p>
        </w:tc>
        <w:tc>
          <w:tcPr>
            <w:tcW w:type="dxa" w:w="39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Action</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Font names</w:t>
            </w:r>
          </w:p>
        </w:tc>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Confirmed visually, not verified</w:t>
            </w:r>
          </w:p>
        </w:tc>
        <w:tc>
          <w:tcPr>
            <w:tcW w:type="dxa" w:w="39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Check source Figma or Illustrator files</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Logo transparency</w:t>
            </w:r>
          </w:p>
        </w:tc>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Files have baked-in backgrounds</w:t>
            </w:r>
          </w:p>
        </w:tc>
        <w:tc>
          <w:tcPr>
            <w:tcW w:type="dxa" w:w="39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Re-export all 6 files as transparent PNGs</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Confidentiality text</w:t>
            </w:r>
          </w:p>
        </w:tc>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Agreed in principle</w:t>
            </w:r>
          </w:p>
        </w:tc>
        <w:tc>
          <w:tcPr>
            <w:tcW w:type="dxa" w:w="39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Draft exact legal text with compliance input</w:t>
            </w:r>
          </w:p>
        </w:tc>
      </w:tr>
      <w:tr>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CMYK values</w:t>
            </w:r>
          </w:p>
        </w:tc>
        <w:tc>
          <w:tcPr>
            <w:tcW w:type="dxa" w:w="24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Approximated in this document</w:t>
            </w:r>
          </w:p>
        </w:tc>
        <w:tc>
          <w:tcPr>
            <w:tcW w:type="dxa" w:w="39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Verify Brand Green #01BC77 and Dark Teal #0D2D35 on press proof before first print run</w:t>
            </w:r>
          </w:p>
        </w:tc>
      </w:tr>
      <w:tr>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White-on-green headers</w:t>
            </w:r>
          </w:p>
        </w:tc>
        <w:tc>
          <w:tcPr>
            <w:tcW w:type="dxa" w:w="24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Non-compliant — noted</w:t>
            </w:r>
          </w:p>
        </w:tc>
        <w:tc>
          <w:tcPr>
            <w:tcW w:type="dxa" w:w="39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Correct in next document revision cycle</w:t>
            </w:r>
          </w:p>
        </w:tc>
      </w:tr>
    </w:tbl>
    <w:p>
      <w:pPr>
        <w:spacing w:after="20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Asset Reference</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532"/>
      </w:tblGrid>
      <w:tr>
        <w:trPr>
          <w:tblHeader/>
        </w:trPr>
        <w:tc>
          <w:tcPr>
            <w:tcW w:type="dxa" w:w="2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File</w:t>
            </w:r>
          </w:p>
        </w:tc>
        <w:tc>
          <w:tcPr>
            <w:tcW w:type="dxa" w:w="30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Description</w:t>
            </w:r>
          </w:p>
        </w:tc>
        <w:tc>
          <w:tcPr>
            <w:tcW w:type="dxa" w:w="35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Use on</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logodark.png</w:t>
            </w:r>
          </w:p>
        </w:tc>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Black wordmark, white background baked in</w:t>
            </w:r>
          </w:p>
        </w:tc>
        <w:tc>
          <w:tcPr>
            <w:tcW w:type="dxa" w:w="3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White and light document surfaces</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logowhite.png</w:t>
            </w:r>
          </w:p>
        </w:tc>
        <w:tc>
          <w:tcPr>
            <w:tcW w:type="dxa" w:w="3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White wordmark, dark background baked in</w:t>
            </w:r>
          </w:p>
        </w:tc>
        <w:tc>
          <w:tcPr>
            <w:tcW w:type="dxa" w:w="3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Dark and photo surfaces</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logogreen.png</w:t>
            </w:r>
          </w:p>
        </w:tc>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Green wordmark, black background baked in</w:t>
            </w:r>
          </w:p>
        </w:tc>
        <w:tc>
          <w:tcPr>
            <w:tcW w:type="dxa" w:w="3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Green full-bleed slide panels</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isodark.png</w:t>
            </w:r>
          </w:p>
        </w:tc>
        <w:tc>
          <w:tcPr>
            <w:tcW w:type="dxa" w:w="3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Black isotype, white background baked in</w:t>
            </w:r>
          </w:p>
        </w:tc>
        <w:tc>
          <w:tcPr>
            <w:tcW w:type="dxa" w:w="3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Interior pages — light surfaces</w:t>
            </w:r>
          </w:p>
        </w:tc>
      </w:tr>
      <w:tr>
        <w:tc>
          <w:tcPr>
            <w:tcW w:type="dxa" w:w="2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isowhite.png</w:t>
            </w:r>
          </w:p>
        </w:tc>
        <w:tc>
          <w:tcPr>
            <w:tcW w:type="dxa" w:w="30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White isotype, dark background baked in</w:t>
            </w:r>
          </w:p>
        </w:tc>
        <w:tc>
          <w:tcPr>
            <w:tcW w:type="dxa" w:w="35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Interior pages — dark surfaces</w:t>
            </w:r>
          </w:p>
        </w:tc>
      </w:tr>
      <w:tr>
        <w:tc>
          <w:tcPr>
            <w:tcW w:type="dxa" w:w="2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isogreen.png</w:t>
            </w:r>
          </w:p>
        </w:tc>
        <w:tc>
          <w:tcPr>
            <w:tcW w:type="dxa" w:w="30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Green isotype, black background baked in</w:t>
            </w:r>
          </w:p>
        </w:tc>
        <w:tc>
          <w:tcPr>
            <w:tcW w:type="dxa" w:w="35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Interior pages on green panels</w:t>
            </w:r>
          </w:p>
        </w:tc>
      </w:tr>
    </w:tbl>
    <w:p>
      <w:pPr>
        <w:spacing w:after="200" w:before="0"/>
        <w:jc w:val="both"/>
      </w:pPr>
      <w:r>
        <w:rPr>
          <w:rFonts w:ascii="Arial" w:cs="Arial" w:eastAsia="Arial" w:hAnsi="Arial"/>
          <w:b w:val="false"/>
          <w:bCs w:val="false"/>
          <w:i w:val="false"/>
          <w:iCs w:val="false"/>
          <w:color w:val="1A1A1A"/>
          <w:sz w:val="20"/>
          <w:szCs w:val="20"/>
        </w:rPr>
        <w:t xml:space="preserve"/>
      </w:r>
    </w:p>
    <w:p>
      <w:pPr>
        <w:pStyle w:val="Heading2"/>
        <w:spacing w:after="80" w:before="320" w:line="288" w:lineRule="auto"/>
        <w:jc w:val="left"/>
      </w:pPr>
      <w:r>
        <w:rPr>
          <w:rFonts w:ascii="Arial" w:cs="Arial" w:eastAsia="Arial" w:hAnsi="Arial"/>
          <w:b/>
          <w:bCs/>
          <w:i w:val="false"/>
          <w:iCs w:val="false"/>
          <w:color w:val="1A1A1A"/>
          <w:sz w:val="28"/>
          <w:szCs w:val="28"/>
        </w:rPr>
        <w:t xml:space="preserve">Version History</w:t>
      </w:r>
    </w:p>
    <w:tbl>
      <w:tblPr>
        <w:tblW w:type="dxa" w:w="8732"/>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5732"/>
      </w:tblGrid>
      <w:tr>
        <w:trPr>
          <w:tblHeader/>
        </w:trPr>
        <w:tc>
          <w:tcPr>
            <w:tcW w:type="dxa" w:w="12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Version</w:t>
            </w:r>
          </w:p>
        </w:tc>
        <w:tc>
          <w:tcPr>
            <w:tcW w:type="dxa" w:w="18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Date</w:t>
            </w:r>
          </w:p>
        </w:tc>
        <w:tc>
          <w:tcPr>
            <w:tcW w:type="dxa" w:w="5732"/>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FFFFFF"/>
                <w:sz w:val="18"/>
                <w:szCs w:val="18"/>
              </w:rPr>
              <w:t xml:space="preserve">Notes</w:t>
            </w:r>
          </w:p>
        </w:tc>
      </w:tr>
      <w:tr>
        <w:tc>
          <w:tcPr>
            <w:tcW w:type="dxa" w:w="12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0.1</w:t>
            </w:r>
          </w:p>
        </w:tc>
        <w:tc>
          <w:tcPr>
            <w:tcW w:type="dxa" w:w="1800"/>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April 2026</w:t>
            </w:r>
          </w:p>
        </w:tc>
        <w:tc>
          <w:tcPr>
            <w:tcW w:type="dxa" w:w="5732"/>
            <w:tcBorders>
              <w:top w:val="single" w:color="1A1A1A" w:sz="4"/>
              <w:left w:val="single" w:color="1A1A1A" w:sz="4"/>
              <w:bottom w:val="single" w:color="1A1A1A" w:sz="4"/>
              <w:right w:val="single" w:color="1A1A1A"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Initial inferred version from visual document analysis</w:t>
            </w:r>
          </w:p>
        </w:tc>
      </w:tr>
      <w:tr>
        <w:tc>
          <w:tcPr>
            <w:tcW w:type="dxa" w:w="12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0.2</w:t>
            </w:r>
          </w:p>
        </w:tc>
        <w:tc>
          <w:tcPr>
            <w:tcW w:type="dxa" w:w="1800"/>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April 2026</w:t>
            </w:r>
          </w:p>
        </w:tc>
        <w:tc>
          <w:tcPr>
            <w:tcW w:type="dxa" w:w="5732"/>
            <w:tcBorders>
              <w:top w:val="single" w:color="1A1A1A" w:sz="4"/>
              <w:left w:val="single" w:color="1A1A1A" w:sz="4"/>
              <w:bottom w:val="single" w:color="1A1A1A" w:sz="4"/>
              <w:right w:val="single" w:color="1A1A1A" w:sz="4"/>
            </w:tcBorders>
            <w:shd w:fill="F5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8"/>
                <w:szCs w:val="18"/>
              </w:rPr>
              <w:t xml:space="preserve">All unknown items resolved. Hex values confirmed from logo pixel analysis. Contrast ratios calculated. Logo images embedded. Status/RAG system defined. 8pt grid adopted. Confidentiality approach agreed.</w:t>
            </w:r>
          </w:p>
        </w:tc>
      </w:tr>
    </w:tbl>
    <w:p>
      <w:pPr>
        <w:spacing w:after="240" w:before="0"/>
        <w:jc w:val="both"/>
      </w:pPr>
      <w:r>
        <w:rPr>
          <w:rFonts w:ascii="Arial" w:cs="Arial" w:eastAsia="Arial" w:hAnsi="Arial"/>
          <w:b w:val="false"/>
          <w:bCs w:val="false"/>
          <w:i w:val="false"/>
          <w:iCs w:val="false"/>
          <w:color w:val="1A1A1A"/>
          <w:sz w:val="20"/>
          <w:szCs w:val="20"/>
        </w:rPr>
        <w:t xml:space="preserve"/>
      </w:r>
    </w:p>
    <w:p>
      <w:pPr>
        <w:spacing w:after="160" w:before="0" w:line="288" w:lineRule="auto"/>
        <w:jc w:val="center"/>
      </w:pPr>
      <w:r>
        <w:rPr>
          <w:rFonts w:ascii="Arial" w:cs="Arial" w:eastAsia="Arial" w:hAnsi="Arial"/>
          <w:b w:val="false"/>
          <w:bCs w:val="false"/>
          <w:i/>
          <w:iCs/>
          <w:color w:val="888888"/>
          <w:sz w:val="18"/>
          <w:szCs w:val="18"/>
        </w:rPr>
        <w:t xml:space="preserve">Reviewed and confirmed in principle — April 2026</w:t>
      </w:r>
    </w:p>
    <w:p>
      <w:pPr>
        <w:spacing w:after="160" w:before="0" w:line="288" w:lineRule="auto"/>
        <w:jc w:val="center"/>
      </w:pPr>
      <w:r>
        <w:rPr>
          <w:rFonts w:ascii="Arial" w:cs="Arial" w:eastAsia="Arial" w:hAnsi="Arial"/>
          <w:b w:val="false"/>
          <w:bCs w:val="false"/>
          <w:i/>
          <w:iCs/>
          <w:color w:val="888888"/>
          <w:sz w:val="18"/>
          <w:szCs w:val="18"/>
        </w:rPr>
        <w:t xml:space="preserve">Font names and logo transparency to be verified from source files before this document is treated as fully canonical.</w:t>
      </w:r>
    </w:p>
    <w:sectPr>
      <w:headerReference w:type="default" r:id="rId7"/>
      <w:footerReference w:type="default" r:id="rId8"/>
      <w:pgSz w:w="11906" w:h="16838" w:orient="portrait"/>
      <w:pgMar w:top="1587" w:right="1587" w:bottom="1587"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b w:val="false"/>
        <w:bCs w:val="false"/>
        <w:i w:val="false"/>
        <w:iCs w:val="false"/>
        <w:color w:val="888888"/>
        <w:sz w:val="16"/>
        <w:szCs w:val="16"/>
      </w:rPr>
      <w:t xml:space="preserve">unlockdd.com  |  tom@unlockdd.com</w:t>
    </w:r>
    <w:r>
      <w:rPr>
        <w:rFonts w:ascii="Arial" w:cs="Arial" w:eastAsia="Arial" w:hAnsi="Arial"/>
        <w:color w:val="888888"/>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1BC77" w:sz="6" w:space="4"/>
      </w:pBdr>
      <w:spacing w:after="0" w:before="0"/>
      <w:jc w:val="left"/>
    </w:pPr>
    <w:r>
      <w:rPr>
        <w:rFonts w:ascii="Arial" w:cs="Arial" w:eastAsia="Arial" w:hAnsi="Arial"/>
        <w:b w:val="false"/>
        <w:bCs w:val="false"/>
        <w:i w:val="false"/>
        <w:iCs w:val="false"/>
        <w:color w:val="888888"/>
        <w:sz w:val="16"/>
        <w:szCs w:val="16"/>
      </w:rPr>
      <w:t xml:space="preserve">Unlock Design Bible  |  v0.2  |  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40"/>
      <w:szCs w:val="40"/>
    </w:rPr>
  </w:style>
  <w:style w:type="paragraph" w:styleId="Heading2">
    <w:name w:val="Heading 2"/>
    <w:basedOn w:val="Normal"/>
    <w:next w:val="Normal"/>
    <w:qFormat/>
    <w:pPr>
      <w:spacing w:after="8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b56fca1cb10524309bc77500151e29cecd43c7.png"/><Relationship Id="rId10" Type="http://schemas.openxmlformats.org/officeDocument/2006/relationships/image" Target="media/5beafb7d1432d97982a276870b4f7b579795e372.png"/><Relationship Id="rId11" Type="http://schemas.openxmlformats.org/officeDocument/2006/relationships/image" Target="media/f68412e807d9e48e69d0674b8340d15043233690.png"/><Relationship Id="rId12" Type="http://schemas.openxmlformats.org/officeDocument/2006/relationships/image" Target="media/0cc3a6aa338057603d928ffcb1190e3faccb9c13.png"/><Relationship Id="rId13" Type="http://schemas.openxmlformats.org/officeDocument/2006/relationships/image" Target="media/8f3a3c15c16c88ac7ef0c267b0104e748db76b31.png"/><Relationship Id="rId14" Type="http://schemas.openxmlformats.org/officeDocument/2006/relationships/image" Target="media/bc0765c7aa15970771c3e6ba7732937b1e4d8823.png"/><Relationship Id="rId15" Type="http://schemas.openxmlformats.org/officeDocument/2006/relationships/image" Target="media/a08cc8732ba808370df630eec6801fe9fbf4036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2026-04-06T14:48:55.730Z</dcterms:created>
  <dcterms:modified xsi:type="dcterms:W3CDTF">2026-04-06T14:48:55.730Z</dcterms:modified>
</cp:coreProperties>
</file>

<file path=docProps/custom.xml><?xml version="1.0" encoding="utf-8"?>
<Properties xmlns="http://schemas.openxmlformats.org/officeDocument/2006/custom-properties" xmlns:vt="http://schemas.openxmlformats.org/officeDocument/2006/docPropsVTypes"/>
</file>