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A2240"/>
          <w:sz w:val="56"/>
          <w:szCs w:val="56"/>
        </w:rPr>
        <w:t xml:space="preserve">UNLOCK</w:t>
      </w:r>
    </w:p>
    <w:p>
      <w:pPr>
        <w:pBdr>
          <w:bottom w:val="single" w:color="C9A84C" w:sz="8" w:space="8"/>
        </w:pBdr>
        <w:spacing w:after="120" w:before="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Campaign Intelligence Platform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2240"/>
          <w:sz w:val="32"/>
          <w:szCs w:val="32"/>
        </w:rPr>
        <w:t xml:space="preserve">Phase 1 — Growth Builder Education</w:t>
      </w:r>
    </w:p>
    <w:p>
      <w:pPr>
        <w:spacing w:after="480" w:before="0"/>
      </w:pPr>
      <w:r>
        <w:rPr>
          <w:rFonts w:ascii="Arial" w:cs="Arial" w:eastAsia="Arial" w:hAnsi="Arial"/>
          <w:color w:val="5A5A58"/>
          <w:sz w:val="24"/>
          <w:szCs w:val="24"/>
        </w:rPr>
        <w:t xml:space="preserve">Multi-Channel Campaign Plan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8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8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4 April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8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Generated by Campaign Intelligence Platform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8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Tom King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1. Campaign overview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campaign establishes the foundational beliefs required before any Unlock product introduction. It targets the Growth Builder cluster — contacts with an entrepreneurial or tech background, high risk tolerance, and EIS experience or adjacent interest.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0A2240"/>
          <w:sz w:val="22"/>
          <w:szCs w:val="22"/>
        </w:rPr>
        <w:t xml:space="preserve">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belief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U1 — The Practical Advice Gap: most IFAs cannot practically advise on individual EIS companies.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 belief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U4 — EIS risk is manageable. Maximum effective loss is approximately 38.5p per pound at additional rate, not the gross investment.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Tertiary belief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G1 — Asymmetric upside in early-stage AI and tech. By the time companies reach public markets, the upside has been captured.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 stage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Outreach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stage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weeks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volume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contacts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EIS Report download (ASSET1)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 a 20-minute call with Tom (from Day 7 onwards)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0A2240"/>
          <w:sz w:val="22"/>
          <w:szCs w:val="22"/>
        </w:rPr>
        <w:t xml:space="preserve">Compliance constraints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content subject to individual tax circumstances — qualifier injected verbatim from acu_tax_circumstances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Capital at risk declaration present in all EIS-specific content — from acu_capital_at_risk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Advice gap described as practical barrier, not legal prohibition — from acu_advice_gap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January 2027 / ASA two-year structure: DO NOT DEPLOY — legal sign-off pending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22p SEIS figure: PROHIBITED — any occurrence triggers automatic QC failure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7.8x average EIS return: PROHIBITED — no published source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April 6 as a deadline: PROHIBITED — April 6 is a rule change date only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0A2240"/>
          <w:sz w:val="22"/>
          <w:szCs w:val="22"/>
        </w:rPr>
        <w:t xml:space="preserve">Target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Crypto Enthusiast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risk tolerance. Income tax liability uncertain. AI-thesis resonant.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P006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 Worker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Equity-familiar. Growth-oriented. Startup risk understood.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P015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Entrepreneur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risk tolerance. EIS-experienced likely. Backs things that matter.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2. Channel strategy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Eight channels active across this campaign. Cold and warm email carry the primary message. LinkedIn and Meta retargeting warm contacts between touchpoints. The call is the conversion mechanism.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campaign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E1 — Cold 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 words max, 1 link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contact. Curiosity hook. Report CTA.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E2A/B/C — Day 4 branch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60–100 words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Behaviour-branched. Three variants by open/click status.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E3 — Social proof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HTML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150 words, 2 links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Value delivery. Risk reframing. First call CTA.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E4 — Urgency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 words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January 2027 head-start. Specific. Honest urgency.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E5 — Final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words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Honest sign-off. Reply-based CTA. Actually final.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CS1 — Call script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 seconds max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 20-minute call. Not to sell EIS.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VM1 — Voicemail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seconds max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Name, company, callback. No pitch.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LI1 — LinkedIn InMail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sentences, 60-char subject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Warm audience. References email. Report offer.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AD1 — Meta ads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40-char headline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Cold / warm / hot variants. Calculator CTA.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AD2 — LinkedIn ads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Sponsored content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1200x627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Authority-led. Data point as hook. Report angle.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AD3 — Display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sizes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Awareness only. No hard CTA. Financial publishers.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3. Campaign sequence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60"/>
        <w:gridCol w:w="4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branch condition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Ads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E1 + AD1/2/3 cold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E1 sends. Cold ad audiences activate within 24hrs.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(branch)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E2A — opened, no click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Different angle. Specific number. Risk reframing.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(branch)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E2B — no open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Different subject line entirely. Ultra short. Question format.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(branch)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E2C — clicked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Did it come through? Low friction re-offer. Two CTAs.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 + LinkedIn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CS1 + LI1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 call attempt. LinkedIn InMail to warm audience.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 (no answer)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VM1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Voicemail: name, company, callback. No pitch.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Call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E3 + Call attempt 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Social proof email. Second call if no-answer x1.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 (no answer x2)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VM1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 voicemail. Tag no-answer-2x.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 attempt 3 final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no-answer x3: remove from active queue. Tag no-answer-3x.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E4 — January 2027 framing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 Assessment bill due in 9 months. Head-start angle. Calendly.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42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E5 — final attempt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I'll stop reaching out after this. Honest. Reply-based CTA.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56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8-week exit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engagement: remove all sequences and ad audiences.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4. Aircall tag system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Tom and the caller have one manual action each: apply a tag in Aircall after each call. Every downstream action fires automatically.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Aircall tag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action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AdRoll action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Pipedrive action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interested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Stop cold → start warm nurture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 to unlock-hot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deal. Stage: Interested. Assign to Tom.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meeting-booked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Stop all → fire E6 immediately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 from ALL audiences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 to Demo Booked. Create meeting activity.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no-answer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Increment Call Attempts +1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change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call. Schedule next attempt.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no-answer-3x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Reduce email cadence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Downgrade to passive display only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Tag: Exhausted Calls.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callback-requested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 confirmation email. Pause sequence.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change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callback activity with date/time.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not-now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Pause all sequences 28 days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Downgrade to warm/passive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 follow-up +28 days.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no-interest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Stop ALL sequences. Add to suppression.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 from ALL audiences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 Lost. Tag: No Interest.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5. Budget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low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high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 spend (Meta, LinkedIn, Display, InMail)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£560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£780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Platforms (AC, Zapier, 360dialog, Wistia)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£240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£350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People (lead caller + VA)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£950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£1,450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Total monthly at steady state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£1,750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£2,580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One-off build cost: £1,700–3,200. Unit economics: 4 investors/month at £25k average = £100k/month new capital. One converted investor covers 3–4 months total spend.</w:t>
      </w:r>
    </w:p>
    <w:p>
      <w:pPr>
        <w:spacing w:after="24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6. Content asset status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AI Investment Thesis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CLEAN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gen_ca705607 — F0 gate live. Promoted to CURRENT.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Cold Advice Gap Explainer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CLEAN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gen_bea526c5 — promoted to CURRENT.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EIS Risk Plain English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CLEAN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gen_07d5ec98 — promoted to CURRENT.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Iran Effect (350)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CLEAN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gap_a4c69129 — recession demand angle included.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EIS Report (ASSET1)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Primary lead magnet. Highest priority content creation.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E1 Cold 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TO WRITE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Brief in pipeline plan. Plain text, 120 words, 1 link.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E2A/B/C Day 4 variants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TO WRITE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Three behaviour-branched variants.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E3 Social Proof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TO WRITE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Light HTML. First direct call CTA.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E4 January 2027 framing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TO WRITE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April 6 deadline with January 2027 head-start.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E5 Final Attempt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TO WRITE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Honest sign-off. Reply-based CTA.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CS1 Call Script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REVIEW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500 (Cold Call Script) — verify alignment with pipeline plan.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VM1 Voicemail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REVIEW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 500 or 530 — verify.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WA1/WA2 WhatsApp templates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TO WRITE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Requires 360dialog submission for Meta approval (24–48hrs).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LI1 LinkedIn InMail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TO WRITE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LinkedIn Campaign Manager — not in Replit registry.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AD1/2/3 Ad creative briefs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TO WRITE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External — AdRoll and LinkedIn Campaign Manager.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18"/>
                <w:szCs w:val="18"/>
              </w:rPr>
              <w:t xml:space="preserve">January 2027 Explainer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BLOCKED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Legal sign-off on ASA two-year structure required.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7. Compliance checklist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items below must be confirmed before campaign activation.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60"/>
        <w:gridCol w:w="510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TPS screening complete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contacts screened before entering calling queue (PECR legal requirement)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Legitimate interest assessment documented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LIA required for each segment before first email sends (UK GDPR)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FCA financial promotion approval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ad creatives, emails, landing page, and report require FCA-authorised person approval before publication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 prohibited content locked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22p, 7.8x, April 6 deadline locked as PROHIBITED in ACU framework — auto-fails QC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~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consent basis verified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Only send WA1/WA2 to contacts who have Unlock number saved or previously messaged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C9A84C" w:sz="4" w:space="8"/>
        </w:pBdr>
        <w:spacing w:after="80" w:before="480"/>
      </w:pPr>
      <w:r>
        <w:rPr>
          <w:rFonts w:ascii="Arial" w:cs="Arial" w:eastAsia="Arial" w:hAnsi="Arial"/>
          <w:i/>
          <w:iCs/>
          <w:color w:val="5A5A58"/>
          <w:sz w:val="16"/>
          <w:szCs w:val="16"/>
        </w:rPr>
        <w:t xml:space="preserve">Generated by Unlock Campaign Intelligence Platform — v3.7 — 4 April 2026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5A5A58"/>
          <w:sz w:val="20"/>
          <w:szCs w:val="20"/>
        </w:rPr>
        <w:t xml:space="preserve">All content draws from locked Approved Content Units (ACUs). All figures are canonical. Subject to individual tax circumstances.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5A5A58"/>
        <w:sz w:val="16"/>
        <w:szCs w:val="16"/>
      </w:rPr>
      <w:t xml:space="preserve">Phase 1 — Growth Builder Education Campaign</w:t>
    </w:r>
    <w:r>
      <w:rPr>
        <w:rFonts w:ascii="Arial" w:cs="Arial" w:eastAsia="Arial" w:hAnsi="Arial"/>
        <w:color w:val="5A5A5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120"/>
    </w:pPr>
    <w:r>
      <w:rPr>
        <w:rFonts w:ascii="Arial" w:cs="Arial" w:eastAsia="Arial" w:hAnsi="Arial"/>
        <w:b/>
        <w:bCs/>
        <w:color w:val="0A2240"/>
        <w:sz w:val="18"/>
        <w:szCs w:val="18"/>
      </w:rPr>
      <w:t xml:space="preserve">UNLOCK </w:t>
    </w:r>
    <w:r>
      <w:rPr>
        <w:rFonts w:ascii="Arial" w:cs="Arial" w:eastAsia="Arial" w:hAnsi="Arial"/>
        <w:color w:val="5A5A58"/>
        <w:sz w:val="18"/>
        <w:szCs w:val="18"/>
      </w:rPr>
      <w:t xml:space="preserve">— Confidential. Internal use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22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A22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2026-04-05T07:42:47.662Z</dcterms:created>
  <dcterms:modified xsi:type="dcterms:W3CDTF">2026-04-05T07:42:47.664Z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