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rPr>
          <w:rFonts w:ascii="Arial" w:cs="Arial" w:eastAsia="Arial" w:hAnsi="Arial"/>
          <w:b/>
          <w:bCs/>
          <w:i w:val="false"/>
          <w:iCs w:val="false"/>
          <w:color w:val="00A499"/>
          <w:sz w:val="96"/>
          <w:szCs w:val="96"/>
        </w:rPr>
        <w:t xml:space="preserve">unlock</w:t>
      </w:r>
    </w:p>
    <w:p>
      <w:pPr>
        <w:spacing w:before="0" w:after="0"/>
      </w:pPr>
      <w:r>
        <w:rPr>
          <w:rFonts w:ascii="Arial" w:cs="Arial" w:eastAsia="Arial" w:hAnsi="Arial"/>
          <w:b/>
          <w:bCs/>
          <w:i w:val="false"/>
          <w:iCs w:val="false"/>
          <w:color w:val="0D1B2A"/>
          <w:sz w:val="48"/>
          <w:szCs w:val="48"/>
        </w:rPr>
        <w:t xml:space="preserve">ACCESS</w:t>
      </w:r>
    </w:p>
    <w:p>
      <w:pPr>
        <w:pBdr>
          <w:bottom w:val="single" w:color="00A499" w:sz="8" w:space="1"/>
        </w:pBdr>
        <w:spacing w:before="0" w:after="0"/>
      </w:pPr>
      <w:r>
        <w:rPr>
          <w:rFonts w:ascii="Arial" w:cs="Arial" w:eastAsia="Arial" w:hAnsi="Arial"/>
          <w:b w:val="false"/>
          <w:bCs w:val="false"/>
          <w:i w:val="false"/>
          <w:iCs w:val="false"/>
          <w:color w:val="4A5568"/>
          <w:sz w:val="4"/>
          <w:szCs w:val="4"/>
        </w:rPr>
        <w:t xml:space="preserve"/>
      </w:r>
    </w:p>
    <w:p>
      <w:pPr>
        <w:spacing w:before="200" w:after="0"/>
      </w:pPr>
      <w:r>
        <w:rPr>
          <w:rFonts w:ascii="Arial" w:cs="Arial" w:eastAsia="Arial" w:hAnsi="Arial"/>
          <w:b/>
          <w:bCs/>
          <w:i w:val="false"/>
          <w:iCs w:val="false"/>
          <w:color w:val="0D1B2A"/>
          <w:sz w:val="48"/>
          <w:szCs w:val="48"/>
        </w:rPr>
        <w:t xml:space="preserve">The Case for EIS</w:t>
      </w:r>
    </w:p>
    <w:p>
      <w:pPr>
        <w:spacing w:before="60" w:after="0"/>
      </w:pPr>
      <w:r>
        <w:rPr>
          <w:rFonts w:ascii="Arial" w:cs="Arial" w:eastAsia="Arial" w:hAnsi="Arial"/>
          <w:b/>
          <w:bCs/>
          <w:i w:val="false"/>
          <w:iCs w:val="false"/>
          <w:color w:val="00A499"/>
          <w:sz w:val="48"/>
          <w:szCs w:val="48"/>
        </w:rPr>
        <w:t xml:space="preserve">2026</w:t>
      </w:r>
    </w:p>
    <w:p>
      <w:pPr>
        <w:spacing w:before="120" w:after="0"/>
      </w:pPr>
      <w:r>
        <w:rPr>
          <w:rFonts w:ascii="Arial" w:cs="Arial" w:eastAsia="Arial" w:hAnsi="Arial"/>
          <w:b w:val="false"/>
          <w:bCs w:val="false"/>
          <w:i/>
          <w:iCs/>
          <w:color w:val="4A5568"/>
          <w:sz w:val="24"/>
          <w:szCs w:val="24"/>
        </w:rPr>
        <w:t xml:space="preserve">How EIS is used to build tax-free, generational wealth — and why 2026 is the time to unlock access.</w:t>
      </w:r>
    </w:p>
    <w:p>
      <w:pPr>
        <w:spacing w:before="0" w:after="0"/>
      </w:pPr>
      <w:r>
        <w:rPr>
          <w:rFonts w:ascii="Arial" w:cs="Arial" w:eastAsia="Arial" w:hAnsi="Arial"/>
          <w:b w:val="false"/>
          <w:bCs w:val="false"/>
          <w:i w:val="false"/>
          <w:iCs w:val="false"/>
          <w:color w:val="4A5568"/>
          <w:sz w:val="22"/>
          <w:szCs w:val="22"/>
        </w:rPr>
        <w:t xml:space="preserve"/>
      </w:r>
    </w:p>
    <w:p>
      <w:pPr>
        <w:spacing w:before="0" w:after="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499" w:sz="6"/>
              <w:left w:val="none" w:color="FFFFFF" w:sz="0"/>
              <w:bottom w:val="single" w:color="00A499" w:sz="6"/>
              <w:right w:val="none" w:color="FFFFFF" w:sz="0"/>
            </w:tcBorders>
            <w:shd w:fill="F7F8FA" w:val="clear"/>
            <w:tcMar>
              <w:top w:type="dxa" w:w="180"/>
              <w:left w:type="dxa" w:w="240"/>
              <w:bottom w:type="dxa" w:w="180"/>
              <w:right w:type="dxa" w:w="240"/>
            </w:tcMar>
          </w:tcPr>
          <w:p>
            <w:pPr>
              <w:spacing w:before="0" w:after="120"/>
            </w:pPr>
            <w:r>
              <w:rPr>
                <w:rFonts w:ascii="Arial" w:cs="Arial" w:eastAsia="Arial" w:hAnsi="Arial"/>
                <w:b/>
                <w:bCs/>
                <w:i w:val="false"/>
                <w:iCs w:val="false"/>
                <w:color w:val="0D1B2A"/>
                <w:sz w:val="22"/>
                <w:szCs w:val="22"/>
              </w:rPr>
              <w:t xml:space="preserve">EIS is most relevant to investors who tick one or more of these boxes:</w:t>
            </w:r>
          </w:p>
          <w:p>
            <w:pPr>
              <w:spacing w:before="60" w:after="60"/>
            </w:pPr>
            <w:r>
              <w:rPr>
                <w:rFonts w:ascii="Arial" w:cs="Arial" w:eastAsia="Arial" w:hAnsi="Arial"/>
                <w:b w:val="false"/>
                <w:bCs w:val="false"/>
                <w:i w:val="false"/>
                <w:iCs w:val="false"/>
                <w:color w:val="4A5568"/>
                <w:sz w:val="21"/>
                <w:szCs w:val="21"/>
              </w:rPr>
              <w:t xml:space="preserve">☐  You have a meaningful income tax bill and pension contributions, salary sacrifice, and professional advice have taken it as far as they can.</w:t>
            </w:r>
          </w:p>
          <w:p>
            <w:pPr>
              <w:spacing w:before="60" w:after="60"/>
            </w:pPr>
            <w:r>
              <w:rPr>
                <w:rFonts w:ascii="Arial" w:cs="Arial" w:eastAsia="Arial" w:hAnsi="Arial"/>
                <w:b w:val="false"/>
                <w:bCs w:val="false"/>
                <w:i w:val="false"/>
                <w:iCs w:val="false"/>
                <w:color w:val="4A5568"/>
                <w:sz w:val="21"/>
                <w:szCs w:val="21"/>
              </w:rPr>
              <w:t xml:space="preserve">☐  You have a capital gain — from a business sale, property disposal, or portfolio event — that you would prefer not to pay in full this year.</w:t>
            </w:r>
          </w:p>
          <w:p>
            <w:pPr>
              <w:spacing w:before="60" w:after="60"/>
            </w:pPr>
            <w:r>
              <w:rPr>
                <w:rFonts w:ascii="Arial" w:cs="Arial" w:eastAsia="Arial" w:hAnsi="Arial"/>
                <w:b w:val="false"/>
                <w:bCs w:val="false"/>
                <w:i w:val="false"/>
                <w:iCs w:val="false"/>
                <w:color w:val="4A5568"/>
                <w:sz w:val="21"/>
                <w:szCs w:val="21"/>
              </w:rPr>
              <w:t xml:space="preserve">☐  Your estate has IHT exposure, and the pension that used to help shelter it will be in scope from April 2027.</w:t>
            </w:r>
          </w:p>
          <w:p>
            <w:pPr>
              <w:spacing w:before="60" w:after="80"/>
            </w:pPr>
            <w:r>
              <w:rPr>
                <w:rFonts w:ascii="Arial" w:cs="Arial" w:eastAsia="Arial" w:hAnsi="Arial"/>
                <w:b w:val="false"/>
                <w:bCs w:val="false"/>
                <w:i w:val="false"/>
                <w:iCs w:val="false"/>
                <w:color w:val="4A5568"/>
                <w:sz w:val="21"/>
                <w:szCs w:val="21"/>
              </w:rPr>
              <w:t xml:space="preserve">☐  You want exposure to early-stage UK companies with uncapped, CGT-free upside.</w:t>
            </w:r>
          </w:p>
          <w:p>
            <w:pPr>
              <w:spacing w:before="0" w:after="0"/>
            </w:pPr>
            <w:r>
              <w:rPr>
                <w:rFonts w:ascii="Arial" w:cs="Arial" w:eastAsia="Arial" w:hAnsi="Arial"/>
                <w:b w:val="false"/>
                <w:bCs w:val="false"/>
                <w:i/>
                <w:iCs/>
                <w:color w:val="6B7280"/>
                <w:sz w:val="20"/>
                <w:szCs w:val="20"/>
              </w:rPr>
              <w:t xml:space="preserve">You don’t need to tick all four. Most investors come to EIS through one door and find the others open too.</w:t>
            </w:r>
          </w:p>
        </w:tc>
      </w:tr>
    </w:tbl>
    <w:p>
      <w:pPr>
        <w:spacing w:before="0" w:after="0"/>
      </w:pPr>
      <w:r>
        <w:rPr>
          <w:rFonts w:ascii="Arial" w:cs="Arial" w:eastAsia="Arial" w:hAnsi="Arial"/>
          <w:b w:val="false"/>
          <w:bCs w:val="false"/>
          <w:i w:val="false"/>
          <w:iCs w:val="false"/>
          <w:color w:val="4A5568"/>
          <w:sz w:val="22"/>
          <w:szCs w:val="22"/>
        </w:rPr>
        <w:t xml:space="preserve"/>
      </w:r>
    </w:p>
    <w:p>
      <w:pPr>
        <w:spacing w:before="60" w:after="100" w:line="300"/>
        <w:jc w:val="left"/>
      </w:pPr>
      <w:r>
        <w:rPr>
          <w:rFonts w:ascii="Arial" w:cs="Arial" w:eastAsia="Arial" w:hAnsi="Arial"/>
          <w:b w:val="false"/>
          <w:bCs w:val="false"/>
          <w:i w:val="false"/>
          <w:iCs w:val="false"/>
          <w:color w:val="4A5568"/>
          <w:sz w:val="22"/>
          <w:szCs w:val="22"/>
        </w:rPr>
        <w:t xml:space="preserve">The investor profiles in this document follow each of these situations in detail. The mechanics — how the four reliefs work, the risk picture, why 2026 matters — are in the reference section at the back.</w:t>
      </w:r>
    </w:p>
    <w:p>
      <w:pPr>
        <w:spacing w:before="0" w:after="0"/>
      </w:pPr>
      <w:r>
        <w:rPr>
          <w:rFonts w:ascii="Arial" w:cs="Arial" w:eastAsia="Arial" w:hAnsi="Arial"/>
          <w:b w:val="false"/>
          <w:bCs w:val="false"/>
          <w:i w:val="false"/>
          <w:iCs w:val="false"/>
          <w:color w:val="4A5568"/>
          <w:sz w:val="22"/>
          <w:szCs w:val="22"/>
        </w:rPr>
        <w:t xml:space="preserve"/>
      </w:r>
    </w:p>
    <w:p>
      <w:pPr>
        <w:spacing w:before="300" w:after="0"/>
      </w:pPr>
      <w:r>
        <w:rPr>
          <w:rFonts w:ascii="Arial" w:cs="Arial" w:eastAsia="Arial" w:hAnsi="Arial"/>
          <w:b w:val="false"/>
          <w:bCs w:val="false"/>
          <w:i w:val="false"/>
          <w:iCs w:val="false"/>
          <w:color w:val="9CA3AF"/>
          <w:sz w:val="18"/>
          <w:szCs w:val="18"/>
        </w:rPr>
        <w:t xml:space="preserve">Confidential  ·  For Sophisticated and High Net Worth Investors Only</w:t>
      </w:r>
    </w:p>
    <w:p>
      <w:pPr>
        <w:spacing w:before="60" w:after="0"/>
      </w:pPr>
      <w:r>
        <w:rPr>
          <w:rFonts w:ascii="Arial" w:cs="Arial" w:eastAsia="Arial" w:hAnsi="Arial"/>
          <w:b w:val="false"/>
          <w:bCs w:val="false"/>
          <w:i/>
          <w:iCs/>
          <w:color w:val="9CA3AF"/>
          <w:sz w:val="16"/>
          <w:szCs w:val="16"/>
        </w:rPr>
        <w:t xml:space="preserve">Communicated only to persons who are self-certified Sophisticated Investors or High Net Worth Individuals as defined under the Financial Promotion Order 2005. Not approved by an FCA-authorised person.</w:t>
      </w:r>
    </w:p>
    <w:p>
      <w:r>
        <w:br w:type="page"/>
      </w:r>
    </w:p>
    <w:p>
      <w:pPr>
        <w:pBdr>
          <w:bottom w:val="single" w:color="00A499" w:sz="8" w:space="6"/>
        </w:pBdr>
        <w:spacing w:before="360" w:after="180"/>
      </w:pPr>
      <w:r>
        <w:rPr>
          <w:rFonts w:ascii="Arial" w:cs="Arial" w:eastAsia="Arial" w:hAnsi="Arial"/>
          <w:b/>
          <w:bCs/>
          <w:i w:val="false"/>
          <w:iCs w:val="false"/>
          <w:color w:val="0D1B2A"/>
          <w:sz w:val="36"/>
          <w:szCs w:val="36"/>
        </w:rPr>
        <w:t xml:space="preserve">Why 2026 Is the Right Moment</w:t>
      </w:r>
    </w:p>
    <w:p>
      <w:pPr>
        <w:spacing w:before="60" w:after="100" w:line="300"/>
        <w:jc w:val="left"/>
      </w:pPr>
      <w:r>
        <w:rPr>
          <w:rFonts w:ascii="Arial" w:cs="Arial" w:eastAsia="Arial" w:hAnsi="Arial"/>
          <w:b w:val="false"/>
          <w:bCs w:val="false"/>
          <w:i w:val="false"/>
          <w:iCs w:val="false"/>
          <w:color w:val="4A5568"/>
          <w:sz w:val="22"/>
          <w:szCs w:val="22"/>
        </w:rPr>
        <w:t xml:space="preserve">The UK tax-advantaged landscape has shifted materially this year. Three structures that HNW investors have relied on for estate planning and tax efficiency have been curtailed or broken. One has not.</w:t>
      </w:r>
    </w:p>
    <w:p>
      <w:pPr>
        <w:spacing w:before="0" w:after="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Structure</w:t>
            </w:r>
          </w:p>
        </w:tc>
        <w:tc>
          <w:tcPr>
            <w:tcW w:type="dxa" w:w="3480"/>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Pre-2026</w:t>
            </w:r>
          </w:p>
        </w:tc>
        <w:tc>
          <w:tcPr>
            <w:tcW w:type="dxa" w:w="3480"/>
            <w:gridSpan w:val="1"/>
            <w:tcBorders>
              <w:top w:val="single" w:color="E2E8F0" w:sz="1"/>
              <w:left w:val="single" w:color="E2E8F0" w:sz="1"/>
              <w:bottom w:val="single" w:color="E2E8F0" w:sz="1"/>
              <w:right w:val="single" w:color="E2E8F0" w:sz="1"/>
            </w:tcBorders>
            <w:shd w:fill="00A499"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2026/27 Reality</w:t>
            </w:r>
          </w:p>
        </w:tc>
      </w:tr>
      <w:tr>
        <w:tc>
          <w:tcPr>
            <w:tcW w:type="dxa" w:w="2400"/>
            <w:gridSpan w:val="1"/>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D1B2A"/>
                <w:sz w:val="20"/>
                <w:szCs w:val="20"/>
              </w:rPr>
              <w:t xml:space="preserve">VCTs</w:t>
            </w:r>
          </w:p>
        </w:tc>
        <w:tc>
          <w:tcPr>
            <w:tcW w:type="dxa" w:w="348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30% income tax relief</w:t>
            </w:r>
          </w:p>
        </w:tc>
        <w:tc>
          <w:tcPr>
            <w:tcW w:type="dxa" w:w="348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C0392B"/>
                <w:sz w:val="20"/>
                <w:szCs w:val="20"/>
              </w:rPr>
              <w:t xml:space="preserve">Reduced to 20% from 6 April 2026</w:t>
            </w:r>
          </w:p>
        </w:tc>
      </w:tr>
      <w:tr>
        <w:tc>
          <w:tcPr>
            <w:tcW w:type="dxa" w:w="2400"/>
            <w:gridSpan w:val="1"/>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D1B2A"/>
                <w:sz w:val="20"/>
                <w:szCs w:val="20"/>
              </w:rPr>
              <w:t xml:space="preserve">Pensions (IHT)</w:t>
            </w:r>
          </w:p>
        </w:tc>
        <w:tc>
          <w:tcPr>
            <w:tcW w:type="dxa" w:w="3480"/>
            <w:gridSpan w:val="1"/>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Outside IHT scope entirely</w:t>
            </w:r>
          </w:p>
        </w:tc>
        <w:tc>
          <w:tcPr>
            <w:tcW w:type="dxa" w:w="3480"/>
            <w:gridSpan w:val="1"/>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C0392B"/>
                <w:sz w:val="20"/>
                <w:szCs w:val="20"/>
              </w:rPr>
              <w:t xml:space="preserve">In scope from 6 April 2027</w:t>
            </w:r>
          </w:p>
        </w:tc>
      </w:tr>
      <w:tr>
        <w:tc>
          <w:tcPr>
            <w:tcW w:type="dxa" w:w="2400"/>
            <w:gridSpan w:val="1"/>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D1B2A"/>
                <w:sz w:val="20"/>
                <w:szCs w:val="20"/>
              </w:rPr>
              <w:t xml:space="preserve">AIM shares (BPR)</w:t>
            </w:r>
          </w:p>
        </w:tc>
        <w:tc>
          <w:tcPr>
            <w:tcW w:type="dxa" w:w="348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100% IHT relief</w:t>
            </w:r>
          </w:p>
        </w:tc>
        <w:tc>
          <w:tcPr>
            <w:tcW w:type="dxa" w:w="348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C0392B"/>
                <w:sz w:val="20"/>
                <w:szCs w:val="20"/>
              </w:rPr>
              <w:t xml:space="preserve">Reduced to 50% in all cases</w:t>
            </w:r>
          </w:p>
        </w:tc>
      </w:tr>
      <w:tr>
        <w:tc>
          <w:tcPr>
            <w:tcW w:type="dxa" w:w="2400"/>
            <w:tcBorders>
              <w:top w:val="single" w:color="E2E8F0" w:sz="1"/>
              <w:left w:val="single" w:color="E2E8F0" w:sz="1"/>
              <w:bottom w:val="single" w:color="E2E8F0" w:sz="1"/>
              <w:right w:val="single" w:color="E2E8F0" w:sz="1"/>
            </w:tcBorders>
            <w:shd w:fill="00A499" w:val="clear"/>
            <w:tcMar>
              <w:top w:type="dxa" w:w="100"/>
              <w:left w:type="dxa" w:w="140"/>
              <w:bottom w:type="dxa" w:w="100"/>
              <w:right w:type="dxa" w:w="140"/>
            </w:tcMar>
          </w:tcPr>
          <w:p>
            <w:pPr>
              <w:spacing w:before="40" w:after="40"/>
            </w:pPr>
            <w:r>
              <w:rPr>
                <w:rFonts w:ascii="Arial" w:cs="Arial" w:eastAsia="Arial" w:hAnsi="Arial"/>
                <w:b/>
                <w:bCs/>
                <w:i w:val="false"/>
                <w:iCs w:val="false"/>
                <w:color w:val="FFFFFF"/>
                <w:sz w:val="20"/>
                <w:szCs w:val="20"/>
              </w:rPr>
              <w:t xml:space="preserve">EIS / SEIS</w:t>
            </w:r>
          </w:p>
        </w:tc>
        <w:tc>
          <w:tcPr>
            <w:tcW w:type="dxa" w:w="348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30% / 50% income tax relief</w:t>
            </w:r>
          </w:p>
        </w:tc>
        <w:tc>
          <w:tcPr>
            <w:tcW w:type="dxa" w:w="3480"/>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Unchanged — full reliefs intact</w:t>
            </w:r>
          </w:p>
        </w:tc>
      </w:tr>
    </w:tbl>
    <w:p>
      <w:pPr>
        <w:spacing w:before="0" w:after="0"/>
      </w:pPr>
      <w:r>
        <w:rPr>
          <w:rFonts w:ascii="Arial" w:cs="Arial" w:eastAsia="Arial" w:hAnsi="Arial"/>
          <w:b w:val="false"/>
          <w:bCs w:val="false"/>
          <w:i w:val="false"/>
          <w:iCs w:val="false"/>
          <w:color w:val="4A5568"/>
          <w:sz w:val="22"/>
          <w:szCs w:val="22"/>
        </w:rPr>
        <w:t xml:space="preserve"/>
      </w:r>
    </w:p>
    <w:p>
      <w:pPr>
        <w:spacing w:before="60" w:after="100" w:line="300"/>
        <w:jc w:val="left"/>
      </w:pPr>
      <w:r>
        <w:rPr>
          <w:rFonts w:ascii="Arial" w:cs="Arial" w:eastAsia="Arial" w:hAnsi="Arial"/>
          <w:b w:val="false"/>
          <w:bCs w:val="false"/>
          <w:i w:val="false"/>
          <w:iCs w:val="false"/>
          <w:color w:val="4A5568"/>
          <w:sz w:val="22"/>
          <w:szCs w:val="22"/>
        </w:rPr>
        <w:t xml:space="preserve">EIS is now the only mainstream UK structure with all four reliefs intact: immediate income tax reduction, CGT-free growth, loss relief, and IHT exemption after two years. The government has extended the scheme to 2035 and expanded company investment limits — companies can now raise up to £10M annually, up from £5M. The window is open. The alternatives have narrowed.</w:t>
      </w:r>
    </w:p>
    <w:p>
      <w:pPr>
        <w:spacing w:before="0" w:after="0"/>
      </w:pPr>
      <w:r>
        <w:rPr>
          <w:rFonts w:ascii="Arial" w:cs="Arial" w:eastAsia="Arial" w:hAnsi="Arial"/>
          <w:b w:val="false"/>
          <w:bCs w:val="false"/>
          <w:i w:val="false"/>
          <w:iCs w:val="false"/>
          <w:color w:val="4A5568"/>
          <w:sz w:val="22"/>
          <w:szCs w:val="22"/>
        </w:rPr>
        <w:t xml:space="preserve"/>
      </w:r>
    </w:p>
    <w:p>
      <w:r>
        <w:br w:type="page"/>
      </w:r>
    </w:p>
    <w:p>
      <w:pPr>
        <w:pBdr>
          <w:bottom w:val="single" w:color="00A499" w:sz="8" w:space="6"/>
        </w:pBdr>
        <w:spacing w:before="360" w:after="180"/>
      </w:pPr>
      <w:r>
        <w:rPr>
          <w:rFonts w:ascii="Arial" w:cs="Arial" w:eastAsia="Arial" w:hAnsi="Arial"/>
          <w:b/>
          <w:bCs/>
          <w:i w:val="false"/>
          <w:iCs w:val="false"/>
          <w:color w:val="0D1B2A"/>
          <w:sz w:val="36"/>
          <w:szCs w:val="36"/>
        </w:rPr>
        <w:t xml:space="preserve">Who This Document Is For</w:t>
      </w:r>
    </w:p>
    <w:p>
      <w:pPr>
        <w:spacing w:before="60" w:after="100" w:line="300"/>
        <w:jc w:val="left"/>
      </w:pPr>
      <w:r>
        <w:rPr>
          <w:rFonts w:ascii="Arial" w:cs="Arial" w:eastAsia="Arial" w:hAnsi="Arial"/>
          <w:b w:val="false"/>
          <w:bCs w:val="false"/>
          <w:i w:val="false"/>
          <w:iCs w:val="false"/>
          <w:color w:val="4A5568"/>
          <w:sz w:val="22"/>
          <w:szCs w:val="22"/>
        </w:rPr>
        <w:t xml:space="preserve">Direct investment into EIS-qualifying companies sits outside the scope of regulated financial advice in the UK. Your accountant can explain how EIS works and confirm the tax treatment — but cannot advise you to invest. Your financial adviser can recommend EIS funds managed by authorised discretionary managers, but cannot advise you to invest directly into individual companies. That category of advice does not exist in a regulated form.</w:t>
      </w:r>
    </w:p>
    <w:p>
      <w:pPr>
        <w:spacing w:before="60" w:after="100" w:line="300"/>
        <w:jc w:val="left"/>
      </w:pPr>
      <w:r>
        <w:rPr>
          <w:rFonts w:ascii="Arial" w:cs="Arial" w:eastAsia="Arial" w:hAnsi="Arial"/>
          <w:b w:val="false"/>
          <w:bCs w:val="false"/>
          <w:i w:val="false"/>
          <w:iCs w:val="false"/>
          <w:color w:val="4A5568"/>
          <w:sz w:val="22"/>
          <w:szCs w:val="22"/>
        </w:rPr>
        <w:t xml:space="preserve">The result is a structural gap. The investors best placed to benefit from direct EIS investment — those with meaningful income tax liabilities, significant capital gains, or estate planning requirements that conventional tools no longer address — are precisely the investors whose professional advisers cannot point them toward it.</w:t>
      </w:r>
    </w:p>
    <w:p>
      <w:pPr>
        <w:spacing w:before="60" w:after="100" w:line="300"/>
        <w:jc w:val="left"/>
      </w:pPr>
      <w:r>
        <w:rPr>
          <w:rFonts w:ascii="Arial" w:cs="Arial" w:eastAsia="Arial" w:hAnsi="Arial"/>
          <w:b w:val="false"/>
          <w:bCs w:val="false"/>
          <w:i w:val="false"/>
          <w:iCs w:val="false"/>
          <w:color w:val="4A5568"/>
          <w:sz w:val="22"/>
          <w:szCs w:val="22"/>
        </w:rPr>
        <w:t xml:space="preserve">This document exists to fill that gap. It is written for investors who are capable of reading investment documentation, forming their own view, and making their own decisions. It does not constitute financial advice and does not make a recommendation to invest.</w:t>
      </w:r>
    </w:p>
    <w:p>
      <w:pPr>
        <w:spacing w:before="0" w:after="0"/>
      </w:pPr>
      <w:r>
        <w:rPr>
          <w:rFonts w:ascii="Arial" w:cs="Arial" w:eastAsia="Arial" w:hAnsi="Arial"/>
          <w:b w:val="false"/>
          <w:bCs w:val="false"/>
          <w:i w:val="false"/>
          <w:iCs w:val="false"/>
          <w:color w:val="4A5568"/>
          <w:sz w:val="22"/>
          <w:szCs w:val="22"/>
        </w:rPr>
        <w:t xml:space="preserve"/>
      </w:r>
    </w:p>
    <w:p>
      <w:pPr>
        <w:spacing w:before="280" w:after="120"/>
      </w:pPr>
      <w:r>
        <w:rPr>
          <w:rFonts w:ascii="Arial" w:cs="Arial" w:eastAsia="Arial" w:hAnsi="Arial"/>
          <w:b/>
          <w:bCs/>
          <w:i w:val="false"/>
          <w:iCs w:val="false"/>
          <w:color w:val="0D1B2A"/>
          <w:sz w:val="28"/>
          <w:szCs w:val="28"/>
        </w:rPr>
        <w:t xml:space="preserve">The investors this document is written for have three things in common</w:t>
      </w:r>
    </w:p>
    <w:p>
      <w:pPr>
        <w:spacing w:before="0" w:after="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0A499" w:val="clear"/>
            <w:tcMar>
              <w:top w:type="dxa" w:w="160"/>
              <w:left w:type="dxa" w:w="160"/>
              <w:bottom w:type="dxa" w:w="160"/>
              <w:right w:type="dxa" w:w="160"/>
            </w:tcMar>
            <w:vAlign w:val="top"/>
          </w:tcPr>
          <w:p>
            <w:pPr>
              <w:spacing w:before="0" w:after="0"/>
              <w:jc w:val="center"/>
            </w:pPr>
            <w:r>
              <w:rPr>
                <w:rFonts w:ascii="Arial" w:cs="Arial" w:eastAsia="Arial" w:hAnsi="Arial"/>
                <w:b/>
                <w:bCs/>
                <w:i w:val="false"/>
                <w:iCs w:val="false"/>
                <w:color w:val="FFFFFF"/>
                <w:sz w:val="24"/>
                <w:szCs w:val="24"/>
              </w:rPr>
              <w:t xml:space="preserve">1</w:t>
            </w:r>
          </w:p>
        </w:tc>
        <w:tc>
          <w:tcPr>
            <w:tcW w:type="dxa" w:w="8880"/>
            <w:tcBorders>
              <w:top w:val="none" w:color="FFFFFF" w:sz="0"/>
              <w:left w:val="none" w:color="FFFFFF" w:sz="0"/>
              <w:bottom w:val="single" w:color="E2E8F0" w:sz="1"/>
              <w:right w:val="none" w:color="FFFFFF" w:sz="0"/>
            </w:tcBorders>
            <w:shd w:fill="FFFFFF" w:val="clear"/>
            <w:tcMar>
              <w:top w:type="dxa" w:w="120"/>
              <w:left w:type="dxa" w:w="200"/>
              <w:bottom w:type="dxa" w:w="120"/>
              <w:right w:type="dxa" w:w="160"/>
            </w:tcMar>
          </w:tcPr>
          <w:p>
            <w:pPr>
              <w:spacing w:before="0" w:after="40"/>
            </w:pPr>
            <w:r>
              <w:rPr>
                <w:rFonts w:ascii="Arial" w:cs="Arial" w:eastAsia="Arial" w:hAnsi="Arial"/>
                <w:b/>
                <w:bCs/>
                <w:i w:val="false"/>
                <w:iCs w:val="false"/>
                <w:color w:val="0D1B2A"/>
                <w:sz w:val="22"/>
                <w:szCs w:val="22"/>
              </w:rPr>
              <w:t xml:space="preserve">They have the liquidity to participate.</w:t>
            </w:r>
          </w:p>
          <w:p>
            <w:pPr>
              <w:spacing w:before="0" w:after="0"/>
            </w:pPr>
            <w:r>
              <w:rPr>
                <w:rFonts w:ascii="Arial" w:cs="Arial" w:eastAsia="Arial" w:hAnsi="Arial"/>
                <w:b w:val="false"/>
                <w:bCs w:val="false"/>
                <w:i w:val="false"/>
                <w:iCs w:val="false"/>
                <w:color w:val="4A5568"/>
                <w:sz w:val="20"/>
                <w:szCs w:val="20"/>
              </w:rPr>
              <w:t xml:space="preserve">Direct EIS investment is illiquid for a minimum of three years and realistically five to ten. The capital committed should be genuinely surplus to requirements — money whose absence for that period creates no financial pressure.</w:t>
            </w:r>
          </w:p>
        </w:tc>
      </w:tr>
      <w:tr>
        <w:tc>
          <w:tcPr>
            <w:tcW w:type="dxa" w:w="480"/>
            <w:tcBorders>
              <w:top w:val="none" w:color="FFFFFF" w:sz="0"/>
              <w:left w:val="none" w:color="FFFFFF" w:sz="0"/>
              <w:bottom w:val="none" w:color="FFFFFF" w:sz="0"/>
              <w:right w:val="none" w:color="FFFFFF" w:sz="0"/>
            </w:tcBorders>
            <w:shd w:fill="00A499" w:val="clear"/>
            <w:tcMar>
              <w:top w:type="dxa" w:w="160"/>
              <w:left w:type="dxa" w:w="160"/>
              <w:bottom w:type="dxa" w:w="160"/>
              <w:right w:type="dxa" w:w="160"/>
            </w:tcMar>
            <w:vAlign w:val="top"/>
          </w:tcPr>
          <w:p>
            <w:pPr>
              <w:spacing w:before="0" w:after="0"/>
              <w:jc w:val="center"/>
            </w:pPr>
            <w:r>
              <w:rPr>
                <w:rFonts w:ascii="Arial" w:cs="Arial" w:eastAsia="Arial" w:hAnsi="Arial"/>
                <w:b/>
                <w:bCs/>
                <w:i w:val="false"/>
                <w:iCs w:val="false"/>
                <w:color w:val="FFFFFF"/>
                <w:sz w:val="24"/>
                <w:szCs w:val="24"/>
              </w:rPr>
              <w:t xml:space="preserve">2</w:t>
            </w:r>
          </w:p>
        </w:tc>
        <w:tc>
          <w:tcPr>
            <w:tcW w:type="dxa" w:w="8880"/>
            <w:tcBorders>
              <w:top w:val="none" w:color="FFFFFF" w:sz="0"/>
              <w:left w:val="none" w:color="FFFFFF" w:sz="0"/>
              <w:bottom w:val="single" w:color="E2E8F0" w:sz="1"/>
              <w:right w:val="none" w:color="FFFFFF" w:sz="0"/>
            </w:tcBorders>
            <w:shd w:fill="FFFFFF" w:val="clear"/>
            <w:tcMar>
              <w:top w:type="dxa" w:w="120"/>
              <w:left w:type="dxa" w:w="200"/>
              <w:bottom w:type="dxa" w:w="120"/>
              <w:right w:type="dxa" w:w="160"/>
            </w:tcMar>
          </w:tcPr>
          <w:p>
            <w:pPr>
              <w:spacing w:before="0" w:after="40"/>
            </w:pPr>
            <w:r>
              <w:rPr>
                <w:rFonts w:ascii="Arial" w:cs="Arial" w:eastAsia="Arial" w:hAnsi="Arial"/>
                <w:b/>
                <w:bCs/>
                <w:i w:val="false"/>
                <w:iCs w:val="false"/>
                <w:color w:val="0D1B2A"/>
                <w:sz w:val="22"/>
                <w:szCs w:val="22"/>
              </w:rPr>
              <w:t xml:space="preserve">They have the time and inclination to engage.</w:t>
            </w:r>
          </w:p>
          <w:p>
            <w:pPr>
              <w:spacing w:before="0" w:after="0"/>
            </w:pPr>
            <w:r>
              <w:rPr>
                <w:rFonts w:ascii="Arial" w:cs="Arial" w:eastAsia="Arial" w:hAnsi="Arial"/>
                <w:b w:val="false"/>
                <w:bCs w:val="false"/>
                <w:i w:val="false"/>
                <w:iCs w:val="false"/>
                <w:color w:val="4A5568"/>
                <w:sz w:val="20"/>
                <w:szCs w:val="20"/>
              </w:rPr>
              <w:t xml:space="preserve">EIS investment documentation is detailed. The companies behind it are early-stage, which means uncertainty is inherent and the information available is limited relative to listed markets. Investors who engage with this structure read carefully, ask questions, and reach their own conclusions.</w:t>
            </w:r>
          </w:p>
        </w:tc>
      </w:tr>
      <w:tr>
        <w:tc>
          <w:tcPr>
            <w:tcW w:type="dxa" w:w="480"/>
            <w:tcBorders>
              <w:top w:val="none" w:color="FFFFFF" w:sz="0"/>
              <w:left w:val="none" w:color="FFFFFF" w:sz="0"/>
              <w:bottom w:val="none" w:color="FFFFFF" w:sz="0"/>
              <w:right w:val="none" w:color="FFFFFF" w:sz="0"/>
            </w:tcBorders>
            <w:shd w:fill="00A499" w:val="clear"/>
            <w:tcMar>
              <w:top w:type="dxa" w:w="160"/>
              <w:left w:type="dxa" w:w="160"/>
              <w:bottom w:type="dxa" w:w="160"/>
              <w:right w:type="dxa" w:w="160"/>
            </w:tcMar>
            <w:vAlign w:val="top"/>
          </w:tcPr>
          <w:p>
            <w:pPr>
              <w:spacing w:before="0" w:after="0"/>
              <w:jc w:val="center"/>
            </w:pPr>
            <w:r>
              <w:rPr>
                <w:rFonts w:ascii="Arial" w:cs="Arial" w:eastAsia="Arial" w:hAnsi="Arial"/>
                <w:b/>
                <w:bCs/>
                <w:i w:val="false"/>
                <w:iCs w:val="false"/>
                <w:color w:val="FFFFFF"/>
                <w:sz w:val="24"/>
                <w:szCs w:val="24"/>
              </w:rPr>
              <w:t xml:space="preserve">3</w:t>
            </w:r>
          </w:p>
        </w:tc>
        <w:tc>
          <w:tcPr>
            <w:tcW w:type="dxa" w:w="8880"/>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spacing w:before="0" w:after="40"/>
            </w:pPr>
            <w:r>
              <w:rPr>
                <w:rFonts w:ascii="Arial" w:cs="Arial" w:eastAsia="Arial" w:hAnsi="Arial"/>
                <w:b/>
                <w:bCs/>
                <w:i w:val="false"/>
                <w:iCs w:val="false"/>
                <w:color w:val="0D1B2A"/>
                <w:sz w:val="22"/>
                <w:szCs w:val="22"/>
              </w:rPr>
              <w:t xml:space="preserve">They are comfortable making decisions without being told what to do.</w:t>
            </w:r>
          </w:p>
          <w:p>
            <w:pPr>
              <w:spacing w:before="0" w:after="0"/>
            </w:pPr>
            <w:r>
              <w:rPr>
                <w:rFonts w:ascii="Arial" w:cs="Arial" w:eastAsia="Arial" w:hAnsi="Arial"/>
                <w:b w:val="false"/>
                <w:bCs w:val="false"/>
                <w:i w:val="false"/>
                <w:iCs w:val="false"/>
                <w:color w:val="4A5568"/>
                <w:sz w:val="20"/>
                <w:szCs w:val="20"/>
              </w:rPr>
              <w:t xml:space="preserve">There is no regulated adviser who will recommend a specific EIS company to you. The decision — which companies to back, how much to invest, and when — is yours entirely.</w:t>
            </w:r>
          </w:p>
        </w:tc>
      </w:tr>
    </w:tbl>
    <w:p>
      <w:pPr>
        <w:spacing w:before="0" w:after="0"/>
      </w:pPr>
      <w:r>
        <w:rPr>
          <w:rFonts w:ascii="Arial" w:cs="Arial" w:eastAsia="Arial" w:hAnsi="Arial"/>
          <w:b w:val="false"/>
          <w:bCs w:val="false"/>
          <w:i w:val="false"/>
          <w:iCs w:val="false"/>
          <w:color w:val="4A5568"/>
          <w:sz w:val="22"/>
          <w:szCs w:val="22"/>
        </w:rPr>
        <w:t xml:space="preserve"/>
      </w:r>
    </w:p>
    <w:p>
      <w:pPr>
        <w:spacing w:before="40" w:after="60" w:line="288"/>
        <w:jc w:val="left"/>
      </w:pPr>
      <w:r>
        <w:rPr>
          <w:rFonts w:ascii="Arial" w:cs="Arial" w:eastAsia="Arial" w:hAnsi="Arial"/>
          <w:b w:val="false"/>
          <w:bCs w:val="false"/>
          <w:i/>
          <w:iCs/>
          <w:color w:val="6B7280"/>
          <w:sz w:val="18"/>
          <w:szCs w:val="18"/>
        </w:rPr>
        <w:t xml:space="preserve">The formal legal definitions of Sophisticated Investor and High Net Worth Individual under the Financial Services and Markets Act 2000 (Financial Promotion) Order 2005 are set out in the annexe.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499" w:sz="6"/>
              <w:left w:val="none" w:color="FFFFFF" w:sz="0"/>
              <w:bottom w:val="single" w:color="00A499" w:sz="6"/>
              <w:right w:val="none" w:color="FFFFFF" w:sz="0"/>
            </w:tcBorders>
            <w:shd w:fill="E6F7F6" w:val="clear"/>
            <w:tcMar>
              <w:top w:type="dxa" w:w="160"/>
              <w:left w:type="dxa" w:w="240"/>
              <w:bottom w:type="dxa" w:w="160"/>
              <w:right w:type="dxa" w:w="240"/>
            </w:tcMar>
          </w:tcPr>
          <w:p>
            <w:pPr>
              <w:spacing w:before="0" w:after="0"/>
              <w:jc w:val="center"/>
            </w:pPr>
            <w:r>
              <w:rPr>
                <w:rFonts w:ascii="Arial" w:cs="Arial" w:eastAsia="Arial" w:hAnsi="Arial"/>
                <w:b w:val="false"/>
                <w:bCs w:val="false"/>
                <w:i/>
                <w:iCs/>
                <w:color w:val="0D1B2A"/>
                <w:sz w:val="22"/>
                <w:szCs w:val="22"/>
              </w:rPr>
              <w:t xml:space="preserve">46.5% of all UK unicorns — companies that went on to achieve billion-pound valuations — were backed by EIS investors at early stages.</w:t>
            </w:r>
          </w:p>
        </w:tc>
      </w:tr>
    </w:tbl>
    <w:p>
      <w:pPr>
        <w:spacing w:before="60" w:after="100" w:line="300"/>
        <w:jc w:val="left"/>
      </w:pPr>
      <w:r>
        <w:rPr>
          <w:rFonts w:ascii="Arial" w:cs="Arial" w:eastAsia="Arial" w:hAnsi="Arial"/>
          <w:b w:val="false"/>
          <w:bCs w:val="false"/>
          <w:i w:val="false"/>
          <w:iCs w:val="false"/>
          <w:color w:val="4A5568"/>
          <w:sz w:val="22"/>
          <w:szCs w:val="22"/>
        </w:rPr>
        <w:t xml:space="preserve">That figure is from the Beauhurst / EISA 30th Anniversary Report (2024). It includes Revolut, Deliveroo, Monzo, Just Eat, and Zoopla among others. It does not mean 46.5% of EIS investments produce unicorns — the failure rate is high and the power law applies fully. What it means is that EIS qualification — which requires companies to be in qualifying trades, under 7 years old, under 250 employees, under £15M gross assets — systematically selects for the kind of young, technology-driven, product-led businesses that produce venture-scale outcomes.</w:t>
      </w:r>
    </w:p>
    <w:p>
      <w:pPr>
        <w:spacing w:before="0" w:after="0"/>
      </w:pPr>
      <w:r>
        <w:rPr>
          <w:rFonts w:ascii="Arial" w:cs="Arial" w:eastAsia="Arial" w:hAnsi="Arial"/>
          <w:b w:val="false"/>
          <w:bCs w:val="false"/>
          <w:i w:val="false"/>
          <w:iCs w:val="false"/>
          <w:color w:val="4A5568"/>
          <w:sz w:val="22"/>
          <w:szCs w:val="22"/>
        </w:rPr>
        <w:t xml:space="preserve"/>
      </w:r>
    </w:p>
    <w:p>
      <w:pPr>
        <w:spacing w:before="280" w:after="120"/>
      </w:pPr>
      <w:r>
        <w:rPr>
          <w:rFonts w:ascii="Arial" w:cs="Arial" w:eastAsia="Arial" w:hAnsi="Arial"/>
          <w:b/>
          <w:bCs/>
          <w:i w:val="false"/>
          <w:iCs w:val="false"/>
          <w:color w:val="0D1B2A"/>
          <w:sz w:val="28"/>
          <w:szCs w:val="28"/>
        </w:rPr>
        <w:t xml:space="preserve">How Returns Are Distributed</w:t>
      </w:r>
    </w:p>
    <w:p>
      <w:pPr>
        <w:spacing w:before="60" w:after="100" w:line="300"/>
        <w:jc w:val="left"/>
      </w:pPr>
      <w:r>
        <w:rPr>
          <w:rFonts w:ascii="Arial" w:cs="Arial" w:eastAsia="Arial" w:hAnsi="Arial"/>
          <w:b w:val="false"/>
          <w:bCs w:val="false"/>
          <w:i w:val="false"/>
          <w:iCs w:val="false"/>
          <w:color w:val="4A5568"/>
          <w:sz w:val="22"/>
          <w:szCs w:val="22"/>
        </w:rPr>
        <w:t xml:space="preserve">EIS investing follows a power law. NESTA’s foundational UK study of 1,080 investments found that 9% of exits produced 80% of all positive cash flows. The calculator and research behind this document uses a 4/3/2/1 distribution per 10 companies, which reflects this structure:</w:t>
      </w:r>
    </w:p>
    <w:p>
      <w:pPr>
        <w:spacing w:before="0" w:after="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2280"/>
        <w:gridCol w:w="1800"/>
      </w:tblGrid>
      <w:tr>
        <w:tc>
          <w:tcPr>
            <w:tcW w:type="dxa" w:w="1800"/>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Companies</w:t>
            </w:r>
          </w:p>
        </w:tc>
        <w:tc>
          <w:tcPr>
            <w:tcW w:type="dxa" w:w="3480"/>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Outcome</w:t>
            </w:r>
          </w:p>
        </w:tc>
        <w:tc>
          <w:tcPr>
            <w:tcW w:type="dxa" w:w="2280"/>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Return multiple</w:t>
            </w:r>
          </w:p>
        </w:tc>
        <w:tc>
          <w:tcPr>
            <w:tcW w:type="dxa" w:w="1800"/>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Timeline</w:t>
            </w:r>
          </w:p>
        </w:tc>
      </w:tr>
      <w:tr>
        <w:tc>
          <w:tcPr>
            <w:tcW w:type="dxa" w:w="18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C0392B"/>
                <w:sz w:val="20"/>
                <w:szCs w:val="20"/>
              </w:rPr>
              <w:t xml:space="preserve">4 / 10</w:t>
            </w:r>
          </w:p>
        </w:tc>
        <w:tc>
          <w:tcPr>
            <w:tcW w:type="dxa" w:w="348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Write-off — total loss</w:t>
            </w:r>
          </w:p>
        </w:tc>
        <w:tc>
          <w:tcPr>
            <w:tcW w:type="dxa" w:w="228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4A5568"/>
                <w:sz w:val="20"/>
                <w:szCs w:val="20"/>
              </w:rPr>
              <w:t xml:space="preserve">0×</w:t>
            </w:r>
          </w:p>
        </w:tc>
        <w:tc>
          <w:tcPr>
            <w:tcW w:type="dxa" w:w="18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4A5568"/>
                <w:sz w:val="20"/>
                <w:szCs w:val="20"/>
              </w:rPr>
              <w:t xml:space="preserve">Years 2–4</w:t>
            </w:r>
          </w:p>
        </w:tc>
      </w:tr>
      <w:tr>
        <w:tc>
          <w:tcPr>
            <w:tcW w:type="dxa" w:w="1800"/>
            <w:gridSpan w:val="1"/>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4A5568"/>
                <w:sz w:val="20"/>
                <w:szCs w:val="20"/>
              </w:rPr>
              <w:t xml:space="preserve">3 / 10</w:t>
            </w:r>
          </w:p>
        </w:tc>
        <w:tc>
          <w:tcPr>
            <w:tcW w:type="dxa" w:w="3480"/>
            <w:gridSpan w:val="1"/>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Marginal exit</w:t>
            </w:r>
          </w:p>
        </w:tc>
        <w:tc>
          <w:tcPr>
            <w:tcW w:type="dxa" w:w="2280"/>
            <w:gridSpan w:val="1"/>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4A5568"/>
                <w:sz w:val="20"/>
                <w:szCs w:val="20"/>
              </w:rPr>
              <w:t xml:space="preserve">2×</w:t>
            </w:r>
          </w:p>
        </w:tc>
        <w:tc>
          <w:tcPr>
            <w:tcW w:type="dxa" w:w="1800"/>
            <w:gridSpan w:val="1"/>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4A5568"/>
                <w:sz w:val="20"/>
                <w:szCs w:val="20"/>
              </w:rPr>
              <w:t xml:space="preserve">Years 4–7</w:t>
            </w:r>
          </w:p>
        </w:tc>
      </w:tr>
      <w:tr>
        <w:tc>
          <w:tcPr>
            <w:tcW w:type="dxa" w:w="18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00A499"/>
                <w:sz w:val="20"/>
                <w:szCs w:val="20"/>
              </w:rPr>
              <w:t xml:space="preserve">2 / 10</w:t>
            </w:r>
          </w:p>
        </w:tc>
        <w:tc>
          <w:tcPr>
            <w:tcW w:type="dxa" w:w="348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Strong exit</w:t>
            </w:r>
          </w:p>
        </w:tc>
        <w:tc>
          <w:tcPr>
            <w:tcW w:type="dxa" w:w="228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4A5568"/>
                <w:sz w:val="20"/>
                <w:szCs w:val="20"/>
              </w:rPr>
              <w:t xml:space="preserve">6×</w:t>
            </w:r>
          </w:p>
        </w:tc>
        <w:tc>
          <w:tcPr>
            <w:tcW w:type="dxa" w:w="18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4A5568"/>
                <w:sz w:val="20"/>
                <w:szCs w:val="20"/>
              </w:rPr>
              <w:t xml:space="preserve">Years 7–10</w:t>
            </w:r>
          </w:p>
        </w:tc>
      </w:tr>
      <w:tr>
        <w:tc>
          <w:tcPr>
            <w:tcW w:type="dxa" w:w="1800"/>
            <w:tcBorders>
              <w:top w:val="single" w:color="E2E8F0" w:sz="1"/>
              <w:left w:val="single" w:color="E2E8F0" w:sz="1"/>
              <w:bottom w:val="single" w:color="E2E8F0" w:sz="1"/>
              <w:right w:val="single" w:color="E2E8F0" w:sz="1"/>
            </w:tcBorders>
            <w:shd w:fill="00A499" w:val="clear"/>
            <w:tcMar>
              <w:top w:type="dxa" w:w="100"/>
              <w:left w:type="dxa" w:w="140"/>
              <w:bottom w:type="dxa" w:w="100"/>
              <w:right w:type="dxa" w:w="140"/>
            </w:tcMar>
          </w:tcPr>
          <w:p>
            <w:pPr>
              <w:spacing w:before="40" w:after="40"/>
              <w:jc w:val="center"/>
            </w:pPr>
            <w:r>
              <w:rPr>
                <w:rFonts w:ascii="Arial" w:cs="Arial" w:eastAsia="Arial" w:hAnsi="Arial"/>
                <w:b/>
                <w:bCs/>
                <w:i w:val="false"/>
                <w:iCs w:val="false"/>
                <w:color w:val="FFFFFF"/>
                <w:sz w:val="20"/>
                <w:szCs w:val="20"/>
              </w:rPr>
              <w:t xml:space="preserve">1 / 10</w:t>
            </w:r>
          </w:p>
        </w:tc>
        <w:tc>
          <w:tcPr>
            <w:tcW w:type="dxa" w:w="3480"/>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Fund returner</w:t>
            </w:r>
          </w:p>
        </w:tc>
        <w:tc>
          <w:tcPr>
            <w:tcW w:type="dxa" w:w="2280"/>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tcPr>
          <w:p>
            <w:pPr>
              <w:spacing w:before="40" w:after="40"/>
              <w:jc w:val="center"/>
            </w:pPr>
            <w:r>
              <w:rPr>
                <w:rFonts w:ascii="Arial" w:cs="Arial" w:eastAsia="Arial" w:hAnsi="Arial"/>
                <w:b/>
                <w:bCs/>
                <w:i w:val="false"/>
                <w:iCs w:val="false"/>
                <w:color w:val="0D1B2A"/>
                <w:sz w:val="20"/>
                <w:szCs w:val="20"/>
              </w:rPr>
              <w:t xml:space="preserve">20×</w:t>
            </w:r>
          </w:p>
        </w:tc>
        <w:tc>
          <w:tcPr>
            <w:tcW w:type="dxa" w:w="1800"/>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tcPr>
          <w:p>
            <w:pPr>
              <w:spacing w:before="40" w:after="40"/>
              <w:jc w:val="center"/>
            </w:pPr>
            <w:r>
              <w:rPr>
                <w:rFonts w:ascii="Arial" w:cs="Arial" w:eastAsia="Arial" w:hAnsi="Arial"/>
                <w:b/>
                <w:bCs/>
                <w:i w:val="false"/>
                <w:iCs w:val="false"/>
                <w:color w:val="0D1B2A"/>
                <w:sz w:val="20"/>
                <w:szCs w:val="20"/>
              </w:rPr>
              <w:t xml:space="preserve">Years 10–15</w:t>
            </w:r>
          </w:p>
        </w:tc>
      </w:tr>
      <w:tr>
        <w:tc>
          <w:tcPr>
            <w:tcW w:type="dxa" w:w="18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tcPr>
          <w:p>
            <w:pPr>
              <w:spacing w:before="40" w:after="40"/>
              <w:jc w:val="center"/>
            </w:pPr>
            <w:r>
              <w:rPr>
                <w:rFonts w:ascii="Arial" w:cs="Arial" w:eastAsia="Arial" w:hAnsi="Arial"/>
                <w:b/>
                <w:bCs/>
                <w:i w:val="false"/>
                <w:iCs w:val="false"/>
                <w:color w:val="FFFFFF"/>
                <w:sz w:val="20"/>
                <w:szCs w:val="20"/>
              </w:rPr>
              <w:t xml:space="preserve">Base case</w:t>
            </w:r>
          </w:p>
        </w:tc>
        <w:tc>
          <w:tcPr>
            <w:tcW w:type="dxa" w:w="348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tcPr>
          <w:p>
            <w:pPr>
              <w:spacing w:before="40" w:after="40"/>
            </w:pPr>
            <w:r>
              <w:rPr>
                <w:rFonts w:ascii="Arial" w:cs="Arial" w:eastAsia="Arial" w:hAnsi="Arial"/>
                <w:b/>
                <w:bCs/>
                <w:i w:val="false"/>
                <w:iCs w:val="false"/>
                <w:color w:val="FFFFFF"/>
                <w:sz w:val="20"/>
                <w:szCs w:val="20"/>
              </w:rPr>
              <w:t xml:space="preserve">3.8× gross return across the portfolio</w:t>
            </w:r>
          </w:p>
        </w:tc>
        <w:tc>
          <w:tcPr>
            <w:tcW w:type="dxa" w:w="2280"/>
            <w:tcBorders>
              <w:top w:val="single" w:color="E2E8F0" w:sz="1"/>
              <w:left w:val="single" w:color="E2E8F0" w:sz="1"/>
              <w:bottom w:val="single" w:color="E2E8F0" w:sz="1"/>
              <w:right w:val="single" w:color="E2E8F0" w:sz="1"/>
            </w:tcBorders>
            <w:shd w:fill="00A499" w:val="clear"/>
            <w:tcMar>
              <w:top w:type="dxa" w:w="100"/>
              <w:left w:type="dxa" w:w="140"/>
              <w:bottom w:type="dxa" w:w="100"/>
              <w:right w:type="dxa" w:w="140"/>
            </w:tcMar>
          </w:tcPr>
          <w:p>
            <w:pPr>
              <w:spacing w:before="40" w:after="40"/>
              <w:jc w:val="center"/>
            </w:pPr>
            <w:r>
              <w:rPr>
                <w:rFonts w:ascii="Arial" w:cs="Arial" w:eastAsia="Arial" w:hAnsi="Arial"/>
                <w:b/>
                <w:bCs/>
                <w:i w:val="false"/>
                <w:iCs w:val="false"/>
                <w:color w:val="FFFFFF"/>
                <w:sz w:val="20"/>
                <w:szCs w:val="20"/>
              </w:rPr>
              <w:t xml:space="preserve">3.8× gross</w:t>
            </w:r>
          </w:p>
        </w:tc>
        <w:tc>
          <w:tcPr>
            <w:tcW w:type="dxa" w:w="18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tcPr>
          <w:p>
            <w:pPr>
              <w:spacing w:before="40" w:after="40"/>
              <w:jc w:val="center"/>
            </w:pPr>
            <w:r>
              <w:rPr>
                <w:rFonts w:ascii="Arial" w:cs="Arial" w:eastAsia="Arial" w:hAnsi="Arial"/>
                <w:b/>
                <w:bCs/>
                <w:i w:val="false"/>
                <w:iCs w:val="false"/>
                <w:color w:val="00A499"/>
                <w:sz w:val="20"/>
                <w:szCs w:val="20"/>
              </w:rPr>
              <w:t xml:space="preserve">All CGT-free</w:t>
            </w:r>
          </w:p>
        </w:tc>
      </w:tr>
    </w:tbl>
    <w:p>
      <w:pPr>
        <w:spacing w:before="0" w:after="0"/>
      </w:pPr>
      <w:r>
        <w:rPr>
          <w:rFonts w:ascii="Arial" w:cs="Arial" w:eastAsia="Arial" w:hAnsi="Arial"/>
          <w:b w:val="false"/>
          <w:bCs w:val="false"/>
          <w:i w:val="false"/>
          <w:iCs w:val="false"/>
          <w:color w:val="4A5568"/>
          <w:sz w:val="22"/>
          <w:szCs w:val="22"/>
        </w:rPr>
        <w:t xml:space="preserve"/>
      </w:r>
    </w:p>
    <w:p>
      <w:pPr>
        <w:spacing w:before="60" w:after="100" w:line="300"/>
        <w:jc w:val="left"/>
      </w:pPr>
      <w:r>
        <w:rPr>
          <w:rFonts w:ascii="Arial" w:cs="Arial" w:eastAsia="Arial" w:hAnsi="Arial"/>
          <w:b w:val="false"/>
          <w:bCs w:val="false"/>
          <w:i w:val="false"/>
          <w:iCs w:val="false"/>
          <w:color w:val="4A5568"/>
          <w:sz w:val="22"/>
          <w:szCs w:val="22"/>
        </w:rPr>
        <w:t xml:space="preserve">The 3.8× base case sits above NESTA’s 2.2× raw average for three reasons: EIS qualification acts as an involuntary quality filter; the EIS market professionalised significantly after 2012; and more recent data is more optimistic — the 2015 ERC study found 30% of investments expected to return 6× or more.</w:t>
      </w:r>
    </w:p>
    <w:p>
      <w:pPr>
        <w:spacing w:before="60" w:after="100" w:line="300"/>
        <w:jc w:val="left"/>
      </w:pPr>
      <w:r>
        <w:rPr>
          <w:rFonts w:ascii="Arial" w:cs="Arial" w:eastAsia="Arial" w:hAnsi="Arial"/>
          <w:b w:val="false"/>
          <w:bCs w:val="false"/>
          <w:i w:val="false"/>
          <w:iCs w:val="false"/>
          <w:color w:val="4A5568"/>
          <w:sz w:val="22"/>
          <w:szCs w:val="22"/>
        </w:rPr>
        <w:t xml:space="preserve">What the tax reliefs do to this distribution is significant. On the failures — four in ten — loss relief at 45% means the effective loss is approximately 38.5p per pound, not 100p. On the exits, all gains are CGT-free. The structure does not require you to pick winners. It requires diversification across enough companies that the distribution works in your favour.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499" w:sz="6"/>
              <w:left w:val="none" w:color="FFFFFF" w:sz="0"/>
              <w:bottom w:val="single" w:color="00A499" w:sz="6"/>
              <w:right w:val="none" w:color="FFFFFF" w:sz="0"/>
            </w:tcBorders>
            <w:shd w:fill="E6F7F6" w:val="clear"/>
            <w:tcMar>
              <w:top w:type="dxa" w:w="160"/>
              <w:left w:type="dxa" w:w="240"/>
              <w:bottom w:type="dxa" w:w="160"/>
              <w:right w:type="dxa" w:w="240"/>
            </w:tcMar>
          </w:tcPr>
          <w:p>
            <w:pPr>
              <w:spacing w:before="0" w:after="0"/>
              <w:jc w:val="center"/>
            </w:pPr>
            <w:r>
              <w:rPr>
                <w:rFonts w:ascii="Arial" w:cs="Arial" w:eastAsia="Arial" w:hAnsi="Arial"/>
                <w:b w:val="false"/>
                <w:bCs w:val="false"/>
                <w:i/>
                <w:iCs/>
                <w:color w:val="0D1B2A"/>
                <w:sz w:val="22"/>
                <w:szCs w:val="22"/>
              </w:rPr>
              <w:t xml:space="preserve">The minimum holding period is a tax rule, not an investment horizon. The companies that deliver 6–20× returns are building substantial, market-leading businesses. That takes time.</w:t>
            </w:r>
          </w:p>
        </w:tc>
      </w:tr>
    </w:tbl>
    <w:p>
      <w:pPr>
        <w:spacing w:before="40" w:after="60" w:line="288"/>
        <w:jc w:val="left"/>
      </w:pPr>
      <w:r>
        <w:rPr>
          <w:rFonts w:ascii="Arial" w:cs="Arial" w:eastAsia="Arial" w:hAnsi="Arial"/>
          <w:b w:val="false"/>
          <w:bCs w:val="false"/>
          <w:i/>
          <w:iCs/>
          <w:color w:val="6B7280"/>
          <w:sz w:val="18"/>
          <w:szCs w:val="18"/>
        </w:rPr>
        <w:t xml:space="preserve">Sources: NESTA / BBAA (2009), Enterprise Research Centre / UKBAA (2015), Beauhurst / EISA 30th Anniversary Report (2024), GrowthInvest (2024), HMRC National Statistics, BBB/UKBAA (2018). Return distribution modelled. Individual outcomes will vary substantially.</w:t>
      </w:r>
    </w:p>
    <w:p>
      <w:r>
        <w:br w:type="page"/>
      </w:r>
    </w:p>
    <w:p>
      <w:pPr>
        <w:pBdr>
          <w:bottom w:val="single" w:color="00A499" w:sz="8" w:space="6"/>
        </w:pBdr>
        <w:spacing w:before="360" w:after="180"/>
      </w:pPr>
      <w:r>
        <w:rPr>
          <w:rFonts w:ascii="Arial" w:cs="Arial" w:eastAsia="Arial" w:hAnsi="Arial"/>
          <w:b/>
          <w:bCs/>
          <w:i w:val="false"/>
          <w:iCs w:val="false"/>
          <w:color w:val="0D1B2A"/>
          <w:sz w:val="36"/>
          <w:szCs w:val="36"/>
        </w:rPr>
        <w:t xml:space="preserve">How the Structure Works</w:t>
      </w:r>
    </w:p>
    <w:p>
      <w:pPr>
        <w:spacing w:before="60" w:after="100" w:line="300"/>
        <w:jc w:val="left"/>
      </w:pPr>
      <w:r>
        <w:rPr>
          <w:rFonts w:ascii="Arial" w:cs="Arial" w:eastAsia="Arial" w:hAnsi="Arial"/>
          <w:b w:val="false"/>
          <w:bCs w:val="false"/>
          <w:i w:val="false"/>
          <w:iCs w:val="false"/>
          <w:color w:val="4A5568"/>
          <w:sz w:val="22"/>
          <w:szCs w:val="22"/>
        </w:rPr>
        <w:t xml:space="preserve">Before the three investor profiles, a quick illustration of how EIS actually behaves across a portfolio. David isn’t a case study — he’s a worked example, designed to show what the asymmetric risk structure looks like in practice.</w:t>
      </w:r>
    </w:p>
    <w:p>
      <w:pPr>
        <w:spacing w:before="60" w:after="100" w:line="300"/>
        <w:jc w:val="left"/>
      </w:pPr>
      <w:r>
        <w:rPr>
          <w:rFonts w:ascii="Arial" w:cs="Arial" w:eastAsia="Arial" w:hAnsi="Arial"/>
          <w:b w:val="false"/>
          <w:bCs w:val="false"/>
          <w:i w:val="false"/>
          <w:iCs w:val="false"/>
          <w:color w:val="4A5568"/>
          <w:sz w:val="22"/>
          <w:szCs w:val="22"/>
        </w:rPr>
        <w:t xml:space="preserve">David invests £10,000 into each of ten EIS-qualifying companies. Total deployed: £100,000. Income tax relief at 30%: £30,000. His effective cost after relief: £70,000. The distribution below reflects the base case used in Unlock’s research — 4 write-offs, 3 marginal exits, 2 strong exits, 1 fund returner — consistent with NESTA’s finding that 9% of exits produce 80% of returns:</w:t>
      </w:r>
    </w:p>
    <w:p>
      <w:pPr>
        <w:spacing w:before="0" w:after="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80"/>
        <w:gridCol w:w="1880"/>
        <w:gridCol w:w="1400"/>
      </w:tblGrid>
      <w:tr>
        <w:tc>
          <w:tcPr>
            <w:tcW w:type="dxa" w:w="1600"/>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Companies</w:t>
            </w:r>
          </w:p>
        </w:tc>
        <w:tc>
          <w:tcPr>
            <w:tcW w:type="dxa" w:w="2000"/>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Outcome</w:t>
            </w:r>
          </w:p>
        </w:tc>
        <w:tc>
          <w:tcPr>
            <w:tcW w:type="dxa" w:w="2480"/>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Multiple</w:t>
            </w:r>
          </w:p>
        </w:tc>
        <w:tc>
          <w:tcPr>
            <w:tcW w:type="dxa" w:w="1880"/>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Gross return</w:t>
            </w:r>
          </w:p>
        </w:tc>
        <w:tc>
          <w:tcPr>
            <w:tcW w:type="dxa" w:w="1400"/>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Timeline</w:t>
            </w:r>
          </w:p>
        </w:tc>
      </w:tr>
      <w:tr>
        <w:tc>
          <w:tcPr>
            <w:tcW w:type="dxa" w:w="16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C0392B"/>
                <w:sz w:val="20"/>
                <w:szCs w:val="20"/>
              </w:rPr>
              <w:t xml:space="preserve">4</w:t>
            </w:r>
          </w:p>
        </w:tc>
        <w:tc>
          <w:tcPr>
            <w:tcW w:type="dxa" w:w="2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Write-off — total loss</w:t>
            </w:r>
          </w:p>
        </w:tc>
        <w:tc>
          <w:tcPr>
            <w:tcW w:type="dxa" w:w="248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4A5568"/>
                <w:sz w:val="20"/>
                <w:szCs w:val="20"/>
              </w:rPr>
              <w:t xml:space="preserve">0×</w:t>
            </w:r>
          </w:p>
        </w:tc>
        <w:tc>
          <w:tcPr>
            <w:tcW w:type="dxa" w:w="188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4A5568"/>
                <w:sz w:val="20"/>
                <w:szCs w:val="20"/>
              </w:rPr>
              <w:t xml:space="preserve">£0</w:t>
            </w:r>
          </w:p>
        </w:tc>
        <w:tc>
          <w:tcPr>
            <w:tcW w:type="dxa" w:w="1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4A5568"/>
                <w:sz w:val="20"/>
                <w:szCs w:val="20"/>
              </w:rPr>
              <w:t xml:space="preserve">Yr 2–4</w:t>
            </w:r>
          </w:p>
        </w:tc>
      </w:tr>
      <w:tr>
        <w:tc>
          <w:tcPr>
            <w:tcW w:type="dxa" w:w="1600"/>
            <w:gridSpan w:val="1"/>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4A5568"/>
                <w:sz w:val="20"/>
                <w:szCs w:val="20"/>
              </w:rPr>
              <w:t xml:space="preserve">3</w:t>
            </w:r>
          </w:p>
        </w:tc>
        <w:tc>
          <w:tcPr>
            <w:tcW w:type="dxa" w:w="2000"/>
            <w:gridSpan w:val="1"/>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Marginal exit</w:t>
            </w:r>
          </w:p>
        </w:tc>
        <w:tc>
          <w:tcPr>
            <w:tcW w:type="dxa" w:w="2480"/>
            <w:gridSpan w:val="1"/>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4A5568"/>
                <w:sz w:val="20"/>
                <w:szCs w:val="20"/>
              </w:rPr>
              <w:t xml:space="preserve">2×</w:t>
            </w:r>
          </w:p>
        </w:tc>
        <w:tc>
          <w:tcPr>
            <w:tcW w:type="dxa" w:w="1880"/>
            <w:gridSpan w:val="1"/>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4A5568"/>
                <w:sz w:val="20"/>
                <w:szCs w:val="20"/>
              </w:rPr>
              <w:t xml:space="preserve">£60,000</w:t>
            </w:r>
          </w:p>
        </w:tc>
        <w:tc>
          <w:tcPr>
            <w:tcW w:type="dxa" w:w="1400"/>
            <w:gridSpan w:val="1"/>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4A5568"/>
                <w:sz w:val="20"/>
                <w:szCs w:val="20"/>
              </w:rPr>
              <w:t xml:space="preserve">Yr 4–7</w:t>
            </w:r>
          </w:p>
        </w:tc>
      </w:tr>
      <w:tr>
        <w:tc>
          <w:tcPr>
            <w:tcW w:type="dxa" w:w="1600"/>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tcPr>
          <w:p>
            <w:pPr>
              <w:spacing w:before="40" w:after="40"/>
              <w:jc w:val="center"/>
            </w:pPr>
            <w:r>
              <w:rPr>
                <w:rFonts w:ascii="Arial" w:cs="Arial" w:eastAsia="Arial" w:hAnsi="Arial"/>
                <w:b/>
                <w:bCs/>
                <w:i w:val="false"/>
                <w:iCs w:val="false"/>
                <w:color w:val="00A499"/>
                <w:sz w:val="20"/>
                <w:szCs w:val="20"/>
              </w:rPr>
              <w:t xml:space="preserve">2</w:t>
            </w:r>
          </w:p>
        </w:tc>
        <w:tc>
          <w:tcPr>
            <w:tcW w:type="dxa" w:w="2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Strong exit</w:t>
            </w:r>
          </w:p>
        </w:tc>
        <w:tc>
          <w:tcPr>
            <w:tcW w:type="dxa" w:w="248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4A5568"/>
                <w:sz w:val="20"/>
                <w:szCs w:val="20"/>
              </w:rPr>
              <w:t xml:space="preserve">6×</w:t>
            </w:r>
          </w:p>
        </w:tc>
        <w:tc>
          <w:tcPr>
            <w:tcW w:type="dxa" w:w="1880"/>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tcPr>
          <w:p>
            <w:pPr>
              <w:spacing w:before="40" w:after="40"/>
              <w:jc w:val="center"/>
            </w:pPr>
            <w:r>
              <w:rPr>
                <w:rFonts w:ascii="Arial" w:cs="Arial" w:eastAsia="Arial" w:hAnsi="Arial"/>
                <w:b/>
                <w:bCs/>
                <w:i w:val="false"/>
                <w:iCs w:val="false"/>
                <w:color w:val="0D1B2A"/>
                <w:sz w:val="20"/>
                <w:szCs w:val="20"/>
              </w:rPr>
              <w:t xml:space="preserve">£120,000</w:t>
            </w:r>
          </w:p>
        </w:tc>
        <w:tc>
          <w:tcPr>
            <w:tcW w:type="dxa" w:w="1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4A5568"/>
                <w:sz w:val="20"/>
                <w:szCs w:val="20"/>
              </w:rPr>
              <w:t xml:space="preserve">Yr 7–10</w:t>
            </w:r>
          </w:p>
        </w:tc>
      </w:tr>
      <w:tr>
        <w:tc>
          <w:tcPr>
            <w:tcW w:type="dxa" w:w="1600"/>
            <w:tcBorders>
              <w:top w:val="single" w:color="E2E8F0" w:sz="1"/>
              <w:left w:val="single" w:color="E2E8F0" w:sz="1"/>
              <w:bottom w:val="single" w:color="E2E8F0" w:sz="1"/>
              <w:right w:val="single" w:color="E2E8F0" w:sz="1"/>
            </w:tcBorders>
            <w:shd w:fill="00A499" w:val="clear"/>
            <w:tcMar>
              <w:top w:type="dxa" w:w="100"/>
              <w:left w:type="dxa" w:w="140"/>
              <w:bottom w:type="dxa" w:w="100"/>
              <w:right w:type="dxa" w:w="140"/>
            </w:tcMar>
          </w:tcPr>
          <w:p>
            <w:pPr>
              <w:spacing w:before="40" w:after="40"/>
              <w:jc w:val="center"/>
            </w:pPr>
            <w:r>
              <w:rPr>
                <w:rFonts w:ascii="Arial" w:cs="Arial" w:eastAsia="Arial" w:hAnsi="Arial"/>
                <w:b/>
                <w:bCs/>
                <w:i w:val="false"/>
                <w:iCs w:val="false"/>
                <w:color w:val="FFFFFF"/>
                <w:sz w:val="20"/>
                <w:szCs w:val="20"/>
              </w:rPr>
              <w:t xml:space="preserve">1</w:t>
            </w:r>
          </w:p>
        </w:tc>
        <w:tc>
          <w:tcPr>
            <w:tcW w:type="dxa" w:w="2000"/>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Fund returner</w:t>
            </w:r>
          </w:p>
        </w:tc>
        <w:tc>
          <w:tcPr>
            <w:tcW w:type="dxa" w:w="2480"/>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tcPr>
          <w:p>
            <w:pPr>
              <w:spacing w:before="40" w:after="40"/>
              <w:jc w:val="center"/>
            </w:pPr>
            <w:r>
              <w:rPr>
                <w:rFonts w:ascii="Arial" w:cs="Arial" w:eastAsia="Arial" w:hAnsi="Arial"/>
                <w:b/>
                <w:bCs/>
                <w:i w:val="false"/>
                <w:iCs w:val="false"/>
                <w:color w:val="0D1B2A"/>
                <w:sz w:val="20"/>
                <w:szCs w:val="20"/>
              </w:rPr>
              <w:t xml:space="preserve">20×</w:t>
            </w:r>
          </w:p>
        </w:tc>
        <w:tc>
          <w:tcPr>
            <w:tcW w:type="dxa" w:w="1880"/>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tcPr>
          <w:p>
            <w:pPr>
              <w:spacing w:before="40" w:after="40"/>
              <w:jc w:val="center"/>
            </w:pPr>
            <w:r>
              <w:rPr>
                <w:rFonts w:ascii="Arial" w:cs="Arial" w:eastAsia="Arial" w:hAnsi="Arial"/>
                <w:b/>
                <w:bCs/>
                <w:i w:val="false"/>
                <w:iCs w:val="false"/>
                <w:color w:val="0D1B2A"/>
                <w:sz w:val="20"/>
                <w:szCs w:val="20"/>
              </w:rPr>
              <w:t xml:space="preserve">£200,000</w:t>
            </w:r>
          </w:p>
        </w:tc>
        <w:tc>
          <w:tcPr>
            <w:tcW w:type="dxa" w:w="1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4A5568"/>
                <w:sz w:val="20"/>
                <w:szCs w:val="20"/>
              </w:rPr>
              <w:t xml:space="preserve">Yr 10–15</w:t>
            </w:r>
          </w:p>
        </w:tc>
      </w:tr>
      <w:tr>
        <w:tc>
          <w:tcPr>
            <w:tcW w:type="dxa" w:w="16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tcPr>
          <w:p>
            <w:pPr>
              <w:spacing w:before="40" w:after="40"/>
              <w:jc w:val="center"/>
            </w:pPr>
            <w:r>
              <w:rPr>
                <w:rFonts w:ascii="Arial" w:cs="Arial" w:eastAsia="Arial" w:hAnsi="Arial"/>
                <w:b/>
                <w:bCs/>
                <w:i w:val="false"/>
                <w:iCs w:val="false"/>
                <w:color w:val="FFFFFF"/>
                <w:sz w:val="20"/>
                <w:szCs w:val="20"/>
              </w:rPr>
              <w:t xml:space="preserve">Total</w:t>
            </w:r>
          </w:p>
        </w:tc>
        <w:tc>
          <w:tcPr>
            <w:tcW w:type="dxa" w:w="20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tcPr>
          <w:p>
            <w:pPr>
              <w:spacing w:before="40" w:after="40"/>
            </w:pPr>
            <w:r>
              <w:rPr>
                <w:rFonts w:ascii="Arial" w:cs="Arial" w:eastAsia="Arial" w:hAnsi="Arial"/>
                <w:b/>
                <w:bCs/>
                <w:i w:val="false"/>
                <w:iCs w:val="false"/>
                <w:color w:val="FFFFFF"/>
                <w:sz w:val="20"/>
                <w:szCs w:val="20"/>
              </w:rPr>
              <w:t xml:space="preserve">4 losses. 6 exits.</w:t>
            </w:r>
          </w:p>
        </w:tc>
        <w:tc>
          <w:tcPr>
            <w:tcW w:type="dxa" w:w="248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tcPr>
          <w:p>
            <w:pPr>
              <w:spacing w:before="40" w:after="40"/>
              <w:jc w:val="center"/>
            </w:pPr>
            <w:r>
              <w:rPr>
                <w:rFonts w:ascii="Arial" w:cs="Arial" w:eastAsia="Arial" w:hAnsi="Arial"/>
                <w:b/>
                <w:bCs/>
                <w:i w:val="false"/>
                <w:iCs w:val="false"/>
                <w:color w:val="00A499"/>
                <w:sz w:val="20"/>
                <w:szCs w:val="20"/>
              </w:rPr>
              <w:t xml:space="preserve">3.8× gross (base case)</w:t>
            </w:r>
          </w:p>
        </w:tc>
        <w:tc>
          <w:tcPr>
            <w:tcW w:type="dxa" w:w="1880"/>
            <w:tcBorders>
              <w:top w:val="single" w:color="E2E8F0" w:sz="1"/>
              <w:left w:val="single" w:color="E2E8F0" w:sz="1"/>
              <w:bottom w:val="single" w:color="E2E8F0" w:sz="1"/>
              <w:right w:val="single" w:color="E2E8F0" w:sz="1"/>
            </w:tcBorders>
            <w:shd w:fill="00A499" w:val="clear"/>
            <w:tcMar>
              <w:top w:type="dxa" w:w="100"/>
              <w:left w:type="dxa" w:w="140"/>
              <w:bottom w:type="dxa" w:w="100"/>
              <w:right w:type="dxa" w:w="140"/>
            </w:tcMar>
          </w:tcPr>
          <w:p>
            <w:pPr>
              <w:spacing w:before="40" w:after="40"/>
              <w:jc w:val="center"/>
            </w:pPr>
            <w:r>
              <w:rPr>
                <w:rFonts w:ascii="Arial" w:cs="Arial" w:eastAsia="Arial" w:hAnsi="Arial"/>
                <w:b/>
                <w:bCs/>
                <w:i w:val="false"/>
                <w:iCs w:val="false"/>
                <w:color w:val="FFFFFF"/>
                <w:sz w:val="20"/>
                <w:szCs w:val="20"/>
              </w:rPr>
              <w:t xml:space="preserve">£380,000</w:t>
            </w:r>
          </w:p>
        </w:tc>
        <w:tc>
          <w:tcPr>
            <w:tcW w:type="dxa" w:w="14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tcPr>
          <w:p>
            <w:pPr>
              <w:spacing w:before="40" w:after="40"/>
              <w:jc w:val="center"/>
            </w:pPr>
            <w:r>
              <w:rPr>
                <w:rFonts w:ascii="Arial" w:cs="Arial" w:eastAsia="Arial" w:hAnsi="Arial"/>
                <w:b/>
                <w:bCs/>
                <w:i w:val="false"/>
                <w:iCs w:val="false"/>
                <w:color w:val="00A499"/>
                <w:sz w:val="20"/>
                <w:szCs w:val="20"/>
              </w:rPr>
              <w:t xml:space="preserve">All CGT-free</w:t>
            </w:r>
          </w:p>
        </w:tc>
      </w:tr>
    </w:tbl>
    <w:p>
      <w:pPr>
        <w:spacing w:before="0" w:after="0"/>
      </w:pPr>
      <w:r>
        <w:rPr>
          <w:rFonts w:ascii="Arial" w:cs="Arial" w:eastAsia="Arial" w:hAnsi="Arial"/>
          <w:b w:val="false"/>
          <w:bCs w:val="false"/>
          <w:i w:val="false"/>
          <w:iCs w:val="false"/>
          <w:color w:val="4A5568"/>
          <w:sz w:val="22"/>
          <w:szCs w:val="22"/>
        </w:rPr>
        <w:t xml:space="preserve"/>
      </w:r>
    </w:p>
    <w:p>
      <w:pPr>
        <w:spacing w:before="60" w:after="100" w:line="300"/>
        <w:jc w:val="left"/>
      </w:pPr>
      <w:r>
        <w:rPr>
          <w:rFonts w:ascii="Arial" w:cs="Arial" w:eastAsia="Arial" w:hAnsi="Arial"/>
          <w:b w:val="false"/>
          <w:bCs w:val="false"/>
          <w:i w:val="false"/>
          <w:iCs w:val="false"/>
          <w:color w:val="4A5568"/>
          <w:sz w:val="22"/>
          <w:szCs w:val="22"/>
        </w:rPr>
        <w:t xml:space="preserve">Four failures cost David £23,800 net of loss relief at 45%. Six exits return £380,000 entirely CGT-free — against an effective cost of £70,000 after income tax relief. The structure does not require every company to succeed. It requires the distribution to hold — diversification across enough companies that the one or two strong performers more than cover the losses.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499" w:sz="6"/>
              <w:left w:val="none" w:color="FFFFFF" w:sz="0"/>
              <w:bottom w:val="single" w:color="00A499" w:sz="6"/>
              <w:right w:val="none" w:color="FFFFFF" w:sz="0"/>
            </w:tcBorders>
            <w:shd w:fill="E6F7F6" w:val="clear"/>
            <w:tcMar>
              <w:top w:type="dxa" w:w="160"/>
              <w:left w:type="dxa" w:w="240"/>
              <w:bottom w:type="dxa" w:w="160"/>
              <w:right w:type="dxa" w:w="240"/>
            </w:tcMar>
          </w:tcPr>
          <w:p>
            <w:pPr>
              <w:spacing w:before="0" w:after="0"/>
              <w:jc w:val="center"/>
            </w:pPr>
            <w:r>
              <w:rPr>
                <w:rFonts w:ascii="Arial" w:cs="Arial" w:eastAsia="Arial" w:hAnsi="Arial"/>
                <w:b w:val="false"/>
                <w:bCs w:val="false"/>
                <w:i/>
                <w:iCs/>
                <w:color w:val="0D1B2A"/>
                <w:sz w:val="22"/>
                <w:szCs w:val="22"/>
              </w:rPr>
              <w:t xml:space="preserve">The upside is uncapped and tax-free. The downside is materially reduced by the reliefs. That asymmetry is the structure.</w:t>
            </w:r>
          </w:p>
        </w:tc>
      </w:tr>
    </w:tbl>
    <w:p>
      <w:pPr>
        <w:spacing w:before="40" w:after="60" w:line="288"/>
        <w:jc w:val="left"/>
      </w:pPr>
      <w:r>
        <w:rPr>
          <w:rFonts w:ascii="Arial" w:cs="Arial" w:eastAsia="Arial" w:hAnsi="Arial"/>
          <w:b w:val="false"/>
          <w:bCs w:val="false"/>
          <w:i/>
          <w:iCs/>
          <w:color w:val="6B7280"/>
          <w:sz w:val="18"/>
          <w:szCs w:val="18"/>
        </w:rPr>
        <w:t xml:space="preserve">Return distribution consistent with Unlock research model: 4 write-offs (0×), 3 marginal exits (2×), 2 strong exits (6×), 1 fund returner (20×). Base case 3.8× gross consistent with GrowthInvest mid-market fund manager targets (2×–10× range). Loss relief assumes 45% marginal rate. All exits CGT-free assuming qualifying holding period met. All figures illustrative. Capital at risk.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200"/>
              <w:left w:type="dxa" w:w="300"/>
              <w:bottom w:type="dxa" w:w="200"/>
              <w:right w:type="dxa" w:w="300"/>
            </w:tcMar>
          </w:tcPr>
          <w:p>
            <w:pPr>
              <w:spacing w:before="0" w:after="40"/>
            </w:pPr>
            <w:r>
              <w:rPr>
                <w:rFonts w:ascii="Arial" w:cs="Arial" w:eastAsia="Arial" w:hAnsi="Arial"/>
                <w:b/>
                <w:bCs/>
                <w:i w:val="false"/>
                <w:iCs w:val="false"/>
                <w:color w:val="FFFFFF"/>
                <w:sz w:val="40"/>
                <w:szCs w:val="40"/>
              </w:rPr>
              <w:t xml:space="preserve">James</w:t>
            </w:r>
          </w:p>
          <w:p>
            <w:pPr>
              <w:spacing w:before="0" w:after="0"/>
            </w:pPr>
            <w:r>
              <w:rPr>
                <w:rFonts w:ascii="Arial" w:cs="Arial" w:eastAsia="Arial" w:hAnsi="Arial"/>
                <w:b w:val="false"/>
                <w:bCs w:val="false"/>
                <w:i/>
                <w:iCs/>
                <w:color w:val="00A499"/>
                <w:sz w:val="22"/>
                <w:szCs w:val="22"/>
              </w:rPr>
              <w:t xml:space="preserve">A large income tax bill and nowhere left to put it efficiently.</w:t>
            </w:r>
          </w:p>
        </w:tc>
      </w:tr>
    </w:tbl>
    <w:p>
      <w:pPr>
        <w:spacing w:before="0" w:after="0"/>
      </w:pPr>
      <w:r>
        <w:rPr>
          <w:rFonts w:ascii="Arial" w:cs="Arial" w:eastAsia="Arial" w:hAnsi="Arial"/>
          <w:b w:val="false"/>
          <w:bCs w:val="false"/>
          <w:i w:val="false"/>
          <w:iCs w:val="false"/>
          <w:color w:val="4A5568"/>
          <w:sz w:val="22"/>
          <w:szCs w:val="22"/>
        </w:rPr>
        <w:t xml:space="preserve"/>
      </w:r>
    </w:p>
    <w:p>
      <w:pPr>
        <w:spacing w:before="60" w:after="100" w:line="300"/>
        <w:jc w:val="left"/>
      </w:pPr>
      <w:r>
        <w:rPr>
          <w:rFonts w:ascii="Arial" w:cs="Arial" w:eastAsia="Arial" w:hAnsi="Arial"/>
          <w:b w:val="false"/>
          <w:bCs w:val="false"/>
          <w:i w:val="false"/>
          <w:iCs w:val="false"/>
          <w:color w:val="4A5568"/>
          <w:sz w:val="22"/>
          <w:szCs w:val="22"/>
        </w:rPr>
        <w:t xml:space="preserve">James is a senior partner at a professional services firm. He earns £195,000 a year. His ISA has been maxed for fifteen years. His pension contributions are capped at the annual allowance. He pays just over £72,000 in income tax annually — not because his affairs are poorly structured, but because he has exhausted every conventional container. The next £72,000 will go to HMRC the same way it always has. Unless he does something different.</w:t>
      </w:r>
    </w:p>
    <w:p>
      <w:pPr>
        <w:spacing w:before="0" w:after="0"/>
      </w:pPr>
      <w:r>
        <w:rPr>
          <w:rFonts w:ascii="Arial" w:cs="Arial" w:eastAsia="Arial" w:hAnsi="Arial"/>
          <w:b w:val="false"/>
          <w:bCs w:val="false"/>
          <w:i w:val="false"/>
          <w:iCs w:val="false"/>
          <w:color w:val="4A5568"/>
          <w:sz w:val="22"/>
          <w:szCs w:val="22"/>
        </w:rPr>
        <w:t xml:space="preserve"/>
      </w:r>
    </w:p>
    <w:p>
      <w:pPr>
        <w:spacing w:before="280" w:after="120"/>
      </w:pPr>
      <w:r>
        <w:rPr>
          <w:rFonts w:ascii="Arial" w:cs="Arial" w:eastAsia="Arial" w:hAnsi="Arial"/>
          <w:b/>
          <w:bCs/>
          <w:i w:val="false"/>
          <w:iCs w:val="false"/>
          <w:color w:val="0D1B2A"/>
          <w:sz w:val="28"/>
          <w:szCs w:val="28"/>
        </w:rPr>
        <w:t xml:space="preserve">What EIS Does for James</w:t>
      </w:r>
    </w:p>
    <w:p>
      <w:pPr>
        <w:spacing w:before="60" w:after="100" w:line="300"/>
        <w:jc w:val="left"/>
      </w:pPr>
      <w:r>
        <w:rPr>
          <w:rFonts w:ascii="Arial" w:cs="Arial" w:eastAsia="Arial" w:hAnsi="Arial"/>
          <w:b w:val="false"/>
          <w:bCs w:val="false"/>
          <w:i w:val="false"/>
          <w:iCs w:val="false"/>
          <w:color w:val="4A5568"/>
          <w:sz w:val="22"/>
          <w:szCs w:val="22"/>
        </w:rPr>
        <w:t xml:space="preserve">EIS allows James to claim 30% of his investment back against his income tax bill in the year he invests — not as a deferral, but as a direct reduction in what he owes this year. SEIS goes further: 50% relief on the earliest-stage companies. He blends both — £40,000 into SEIS, £80,000 into EIS — and his combined annual relief is £44,000. His effective annual cost is £76,000. HMRC funds the remaining £44,000. Any growth from companies that succeed is entirely free of Capital Gains Tax. Any cohort held for two years passes outside his estate without a trust, a gift, or a solicitor arrangement.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499" w:sz="6"/>
              <w:left w:val="none" w:color="FFFFFF" w:sz="0"/>
              <w:bottom w:val="single" w:color="00A499" w:sz="6"/>
              <w:right w:val="none" w:color="FFFFFF" w:sz="0"/>
            </w:tcBorders>
            <w:shd w:fill="E6F7F6" w:val="clear"/>
            <w:tcMar>
              <w:top w:type="dxa" w:w="160"/>
              <w:left w:type="dxa" w:w="240"/>
              <w:bottom w:type="dxa" w:w="160"/>
              <w:right w:type="dxa" w:w="240"/>
            </w:tcMar>
          </w:tcPr>
          <w:p>
            <w:pPr>
              <w:spacing w:before="0" w:after="0"/>
              <w:jc w:val="center"/>
            </w:pPr>
            <w:r>
              <w:rPr>
                <w:rFonts w:ascii="Arial" w:cs="Arial" w:eastAsia="Arial" w:hAnsi="Arial"/>
                <w:b w:val="false"/>
                <w:bCs w:val="false"/>
                <w:i/>
                <w:iCs/>
                <w:color w:val="0D1B2A"/>
                <w:sz w:val="22"/>
                <w:szCs w:val="22"/>
              </w:rPr>
              <w:t xml:space="preserve">Over fifteen years, James receives £660,000 in income tax relief — capital that would otherwise have gone to HMRC, returned to him in the year of investment before the underlying companies do anything at all.</w:t>
            </w:r>
          </w:p>
        </w:tc>
      </w:tr>
    </w:tbl>
    <w:p>
      <w:pPr>
        <w:spacing w:before="60" w:after="100" w:line="300"/>
        <w:jc w:val="left"/>
      </w:pPr>
      <w:r>
        <w:rPr>
          <w:rFonts w:ascii="Arial" w:cs="Arial" w:eastAsia="Arial" w:hAnsi="Arial"/>
          <w:b w:val="false"/>
          <w:bCs w:val="false"/>
          <w:i w:val="false"/>
          <w:iCs w:val="false"/>
          <w:color w:val="4A5568"/>
          <w:sz w:val="22"/>
          <w:szCs w:val="22"/>
        </w:rPr>
        <w:t xml:space="preserve">That £660,000 arrives regardless of what the portfolio does. It is not contingent on performance or exit events. The question worth asking is not ‘what does the portfolio return?’ but ‘what is James’s position after fifteen years compared to simply paying the tax?’</w:t>
      </w:r>
    </w:p>
    <w:p>
      <w:pPr>
        <w:spacing w:before="0" w:after="0"/>
      </w:pPr>
      <w:r>
        <w:rPr>
          <w:rFonts w:ascii="Arial" w:cs="Arial" w:eastAsia="Arial" w:hAnsi="Arial"/>
          <w:b w:val="false"/>
          <w:bCs w:val="false"/>
          <w:i w:val="false"/>
          <w:iCs w:val="false"/>
          <w:color w:val="4A5568"/>
          <w:sz w:val="22"/>
          <w:szCs w:val="22"/>
        </w:rPr>
        <w:t xml:space="preserve"/>
      </w:r>
    </w:p>
    <w:p>
      <w:pPr>
        <w:spacing w:before="280" w:after="120"/>
      </w:pPr>
      <w:r>
        <w:rPr>
          <w:rFonts w:ascii="Arial" w:cs="Arial" w:eastAsia="Arial" w:hAnsi="Arial"/>
          <w:b/>
          <w:bCs/>
          <w:i w:val="false"/>
          <w:iCs w:val="false"/>
          <w:color w:val="0D1B2A"/>
          <w:sz w:val="28"/>
          <w:szCs w:val="28"/>
        </w:rPr>
        <w:t xml:space="preserve">Fifteen Years: EIS vs Paying the Tax</w:t>
      </w:r>
    </w:p>
    <w:p>
      <w:pPr>
        <w:spacing w:before="0" w:after="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
            </w:r>
          </w:p>
        </w:tc>
        <w:tc>
          <w:tcPr>
            <w:tcW w:type="dxa" w:w="3000"/>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Pay the tax — no EIS</w:t>
            </w:r>
          </w:p>
        </w:tc>
        <w:tc>
          <w:tcPr>
            <w:tcW w:type="dxa" w:w="3000"/>
            <w:gridSpan w:val="1"/>
            <w:tcBorders>
              <w:top w:val="single" w:color="E2E8F0" w:sz="1"/>
              <w:left w:val="single" w:color="E2E8F0" w:sz="1"/>
              <w:bottom w:val="single" w:color="E2E8F0" w:sz="1"/>
              <w:right w:val="single" w:color="E2E8F0" w:sz="1"/>
            </w:tcBorders>
            <w:shd w:fill="00A499"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EIS programme</w:t>
            </w:r>
          </w:p>
        </w:tc>
      </w:tr>
      <w:tr>
        <w:tc>
          <w:tcPr>
            <w:tcW w:type="dxa" w:w="3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Tax paid to HMRC (15yr)</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4A5568"/>
                <w:sz w:val="20"/>
                <w:szCs w:val="20"/>
              </w:rPr>
              <w:t xml:space="preserve">£1,080,000</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0D1B2A"/>
                <w:sz w:val="20"/>
                <w:szCs w:val="20"/>
              </w:rPr>
              <w:t xml:space="preserve">£420,000</w:t>
            </w:r>
          </w:p>
        </w:tc>
      </w:tr>
      <w:tr>
        <w:tc>
          <w:tcPr>
            <w:tcW w:type="dxa" w:w="3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Capital redirected into portfolio</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4A5568"/>
                <w:sz w:val="20"/>
                <w:szCs w:val="20"/>
              </w:rPr>
              <w:t xml:space="preserve">£0</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0D1B2A"/>
                <w:sz w:val="20"/>
                <w:szCs w:val="20"/>
              </w:rPr>
              <w:t xml:space="preserve">£660,000 — invested not lost</w:t>
            </w:r>
          </w:p>
        </w:tc>
      </w:tr>
      <w:tr>
        <w:tc>
          <w:tcPr>
            <w:tcW w:type="dxa" w:w="3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Portfolio value at year 15 (base case)</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4A5568"/>
                <w:sz w:val="20"/>
                <w:szCs w:val="20"/>
              </w:rPr>
              <w:t xml:space="preserve">£0</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0D1B2A"/>
                <w:sz w:val="20"/>
                <w:szCs w:val="20"/>
              </w:rPr>
              <w:t xml:space="preserve">£2,940,000</w:t>
            </w:r>
          </w:p>
        </w:tc>
      </w:tr>
      <w:tr>
        <w:tc>
          <w:tcPr>
            <w:tcW w:type="dxa" w:w="3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CGT on exits</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4A5568"/>
                <w:sz w:val="20"/>
                <w:szCs w:val="20"/>
              </w:rPr>
              <w:t xml:space="preserve">N/A</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0D1B2A"/>
                <w:sz w:val="20"/>
                <w:szCs w:val="20"/>
              </w:rPr>
              <w:t xml:space="preserve">Zero</w:t>
            </w:r>
          </w:p>
        </w:tc>
      </w:tr>
      <w:tr>
        <w:tc>
          <w:tcPr>
            <w:tcW w:type="dxa" w:w="3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IHT position</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4A5568"/>
                <w:sz w:val="20"/>
                <w:szCs w:val="20"/>
              </w:rPr>
              <w:t xml:space="preserve">Fully in estate</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0D1B2A"/>
                <w:sz w:val="20"/>
                <w:szCs w:val="20"/>
              </w:rPr>
              <w:t xml:space="preserve">Full active portfolio outside estate</w:t>
            </w:r>
          </w:p>
        </w:tc>
      </w:tr>
      <w:tr>
        <w:tc>
          <w:tcPr>
            <w:tcW w:type="dxa" w:w="3360"/>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Net financial position at year 15</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bCs/>
                <w:i w:val="false"/>
                <w:iCs w:val="false"/>
                <w:color w:val="C0392B"/>
                <w:sz w:val="20"/>
                <w:szCs w:val="20"/>
              </w:rPr>
              <w:t xml:space="preserve">£0 from the £660,000 paid to HMRC</w:t>
            </w:r>
          </w:p>
        </w:tc>
        <w:tc>
          <w:tcPr>
            <w:tcW w:type="dxa" w:w="3000"/>
            <w:tcBorders>
              <w:top w:val="single" w:color="E2E8F0" w:sz="1"/>
              <w:left w:val="single" w:color="E2E8F0" w:sz="1"/>
              <w:bottom w:val="single" w:color="E2E8F0" w:sz="1"/>
              <w:right w:val="single" w:color="E2E8F0" w:sz="1"/>
            </w:tcBorders>
            <w:shd w:fill="00A499" w:val="clear"/>
            <w:tcMar>
              <w:top w:type="dxa" w:w="100"/>
              <w:left w:type="dxa" w:w="140"/>
              <w:bottom w:type="dxa" w:w="100"/>
              <w:right w:type="dxa" w:w="140"/>
            </w:tcMar>
          </w:tcPr>
          <w:p>
            <w:pPr>
              <w:spacing w:before="40" w:after="40"/>
              <w:jc w:val="center"/>
            </w:pPr>
            <w:r>
              <w:rPr>
                <w:rFonts w:ascii="Arial" w:cs="Arial" w:eastAsia="Arial" w:hAnsi="Arial"/>
                <w:b/>
                <w:bCs/>
                <w:i w:val="false"/>
                <w:iCs w:val="false"/>
                <w:color w:val="FFFFFF"/>
                <w:sz w:val="20"/>
                <w:szCs w:val="20"/>
              </w:rPr>
              <w:t xml:space="preserve">£2,940,000 portfolio + £660,000 tax saved</w:t>
            </w:r>
          </w:p>
        </w:tc>
      </w:tr>
    </w:tbl>
    <w:p>
      <w:pPr>
        <w:spacing w:before="0" w:after="0"/>
      </w:pPr>
      <w:r>
        <w:rPr>
          <w:rFonts w:ascii="Arial" w:cs="Arial" w:eastAsia="Arial" w:hAnsi="Arial"/>
          <w:b w:val="false"/>
          <w:bCs w:val="false"/>
          <w:i w:val="false"/>
          <w:iCs w:val="false"/>
          <w:color w:val="4A5568"/>
          <w:sz w:val="22"/>
          <w:szCs w:val="22"/>
        </w:rPr>
        <w:t xml:space="preserve"/>
      </w:r>
    </w:p>
    <w:p>
      <w:pPr>
        <w:spacing w:before="40" w:after="60" w:line="288"/>
        <w:jc w:val="left"/>
      </w:pPr>
      <w:r>
        <w:rPr>
          <w:rFonts w:ascii="Arial" w:cs="Arial" w:eastAsia="Arial" w:hAnsi="Arial"/>
          <w:b w:val="false"/>
          <w:bCs w:val="false"/>
          <w:i/>
          <w:iCs/>
          <w:color w:val="6B7280"/>
          <w:sz w:val="18"/>
          <w:szCs w:val="18"/>
        </w:rPr>
        <w:t xml:space="preserve">Annual investment £120,000 (£40,000 SEIS at 50% + £80,000 EIS at 30%). Base case assumes diversified portfolio consistent with Beauhurst/NESTA historical return distribution. Income tax relief is fixed regardless of investment performance. All figures illustrative. Capital at risk.</w:t>
      </w:r>
    </w:p>
    <w:p>
      <w:pPr>
        <w:spacing w:before="0" w:after="0"/>
      </w:pPr>
      <w:r>
        <w:rPr>
          <w:rFonts w:ascii="Arial" w:cs="Arial" w:eastAsia="Arial" w:hAnsi="Arial"/>
          <w:b w:val="false"/>
          <w:bCs w:val="false"/>
          <w:i w:val="false"/>
          <w:iCs w:val="false"/>
          <w:color w:val="4A5568"/>
          <w:sz w:val="22"/>
          <w:szCs w:val="22"/>
        </w:rPr>
        <w:t xml:space="preserve"/>
      </w:r>
    </w:p>
    <w:p>
      <w:pPr>
        <w:spacing w:before="60" w:after="100" w:line="300"/>
        <w:jc w:val="left"/>
      </w:pPr>
      <w:r>
        <w:rPr>
          <w:rFonts w:ascii="Arial" w:cs="Arial" w:eastAsia="Arial" w:hAnsi="Arial"/>
          <w:b w:val="false"/>
          <w:bCs w:val="false"/>
          <w:i w:val="false"/>
          <w:iCs w:val="false"/>
          <w:color w:val="4A5568"/>
          <w:sz w:val="22"/>
          <w:szCs w:val="22"/>
        </w:rPr>
        <w:t xml:space="preserve">Each cohort held for two years passes outside James’s estate entirely under Business Property Relief. A fifteen-year programme does not just build a portfolio — it systematically transfers wealth across generations, CGT-free and IHT-free, without a trust, a deed of variation, or a solicitor arrangement. That is what tax-free, generational wealth looks like in practice.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200"/>
              <w:left w:type="dxa" w:w="300"/>
              <w:bottom w:type="dxa" w:w="200"/>
              <w:right w:type="dxa" w:w="300"/>
            </w:tcMar>
          </w:tcPr>
          <w:p>
            <w:pPr>
              <w:spacing w:before="0" w:after="40"/>
            </w:pPr>
            <w:r>
              <w:rPr>
                <w:rFonts w:ascii="Arial" w:cs="Arial" w:eastAsia="Arial" w:hAnsi="Arial"/>
                <w:b/>
                <w:bCs/>
                <w:i w:val="false"/>
                <w:iCs w:val="false"/>
                <w:color w:val="FFFFFF"/>
                <w:sz w:val="40"/>
                <w:szCs w:val="40"/>
              </w:rPr>
              <w:t xml:space="preserve">Richard</w:t>
            </w:r>
          </w:p>
          <w:p>
            <w:pPr>
              <w:spacing w:before="0" w:after="0"/>
            </w:pPr>
            <w:r>
              <w:rPr>
                <w:rFonts w:ascii="Arial" w:cs="Arial" w:eastAsia="Arial" w:hAnsi="Arial"/>
                <w:b w:val="false"/>
                <w:bCs w:val="false"/>
                <w:i/>
                <w:iCs/>
                <w:color w:val="00A499"/>
                <w:sz w:val="22"/>
                <w:szCs w:val="22"/>
              </w:rPr>
              <w:t xml:space="preserve">A business sale, a CGT liability, and an IHT problem that appeared overnight.</w:t>
            </w:r>
          </w:p>
        </w:tc>
      </w:tr>
    </w:tbl>
    <w:p>
      <w:pPr>
        <w:spacing w:before="0" w:after="0"/>
      </w:pPr>
      <w:r>
        <w:rPr>
          <w:rFonts w:ascii="Arial" w:cs="Arial" w:eastAsia="Arial" w:hAnsi="Arial"/>
          <w:b w:val="false"/>
          <w:bCs w:val="false"/>
          <w:i w:val="false"/>
          <w:iCs w:val="false"/>
          <w:color w:val="4A5568"/>
          <w:sz w:val="22"/>
          <w:szCs w:val="22"/>
        </w:rPr>
        <w:t xml:space="preserve"/>
      </w:r>
    </w:p>
    <w:p>
      <w:pPr>
        <w:spacing w:before="60" w:after="100" w:line="300"/>
        <w:jc w:val="left"/>
      </w:pPr>
      <w:r>
        <w:rPr>
          <w:rFonts w:ascii="Arial" w:cs="Arial" w:eastAsia="Arial" w:hAnsi="Arial"/>
          <w:b w:val="false"/>
          <w:bCs w:val="false"/>
          <w:i w:val="false"/>
          <w:iCs w:val="false"/>
          <w:color w:val="4A5568"/>
          <w:sz w:val="22"/>
          <w:szCs w:val="22"/>
        </w:rPr>
        <w:t xml:space="preserve">Richard has run his own business for twenty years. He draws salary and dividends of around £220,000 a year. Like James, his ISA is maxed and his pension has hit the lifetime allowance. But Richard’s relationship with EIS is different. For James the structure is a long-term programme. For Richard it is a response to events — and the events, when they come, arrive quickly.</w:t>
      </w:r>
    </w:p>
    <w:p>
      <w:pPr>
        <w:spacing w:before="0" w:after="0"/>
      </w:pPr>
      <w:r>
        <w:rPr>
          <w:rFonts w:ascii="Arial" w:cs="Arial" w:eastAsia="Arial" w:hAnsi="Arial"/>
          <w:b w:val="false"/>
          <w:bCs w:val="false"/>
          <w:i w:val="false"/>
          <w:iCs w:val="false"/>
          <w:color w:val="4A5568"/>
          <w:sz w:val="22"/>
          <w:szCs w:val="22"/>
        </w:rPr>
        <w:t xml:space="preserve"/>
      </w:r>
    </w:p>
    <w:p>
      <w:pPr>
        <w:spacing w:before="280" w:after="120"/>
      </w:pPr>
      <w:r>
        <w:rPr>
          <w:rFonts w:ascii="Arial" w:cs="Arial" w:eastAsia="Arial" w:hAnsi="Arial"/>
          <w:b/>
          <w:bCs/>
          <w:i w:val="false"/>
          <w:iCs w:val="false"/>
          <w:color w:val="0D1B2A"/>
          <w:sz w:val="28"/>
          <w:szCs w:val="28"/>
        </w:rPr>
        <w:t xml:space="preserve">Phase 1: Age 50–67 — Building the Portfolio</w:t>
      </w:r>
    </w:p>
    <w:p>
      <w:pPr>
        <w:spacing w:before="60" w:after="100" w:line="300"/>
        <w:jc w:val="left"/>
      </w:pPr>
      <w:r>
        <w:rPr>
          <w:rFonts w:ascii="Arial" w:cs="Arial" w:eastAsia="Arial" w:hAnsi="Arial"/>
          <w:b w:val="false"/>
          <w:bCs w:val="false"/>
          <w:i w:val="false"/>
          <w:iCs w:val="false"/>
          <w:color w:val="4A5568"/>
          <w:sz w:val="22"/>
          <w:szCs w:val="22"/>
        </w:rPr>
        <w:t xml:space="preserve">For seventeen years, Richard invests £160,000 a year into a blend of SEIS and EIS-qualifying companies. The combined relief — £64,000 annually — reduces his income tax bill by nearly 80%. His business carries Business Property Relief, so the bulk of his wealth sits outside his estate regardless. The EIS portfolio builds alongside it — quietly, systematically, CGT-free exits arriving from around year five.</w:t>
      </w:r>
    </w:p>
    <w:p>
      <w:pPr>
        <w:spacing w:before="0" w:after="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
            </w:r>
          </w:p>
        </w:tc>
        <w:tc>
          <w:tcPr>
            <w:tcW w:type="dxa" w:w="3000"/>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Pay the tax — no EIS</w:t>
            </w:r>
          </w:p>
        </w:tc>
        <w:tc>
          <w:tcPr>
            <w:tcW w:type="dxa" w:w="3000"/>
            <w:gridSpan w:val="1"/>
            <w:tcBorders>
              <w:top w:val="single" w:color="E2E8F0" w:sz="1"/>
              <w:left w:val="single" w:color="E2E8F0" w:sz="1"/>
              <w:bottom w:val="single" w:color="E2E8F0" w:sz="1"/>
              <w:right w:val="single" w:color="E2E8F0" w:sz="1"/>
            </w:tcBorders>
            <w:shd w:fill="00A499"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EIS programme</w:t>
            </w:r>
          </w:p>
        </w:tc>
      </w:tr>
      <w:tr>
        <w:tc>
          <w:tcPr>
            <w:tcW w:type="dxa" w:w="3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Tax paid to HMRC (17yr)</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4A5568"/>
                <w:sz w:val="20"/>
                <w:szCs w:val="20"/>
              </w:rPr>
              <w:t xml:space="preserve">£1,360,000</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0D1B2A"/>
                <w:sz w:val="20"/>
                <w:szCs w:val="20"/>
              </w:rPr>
              <w:t xml:space="preserve">£272,000</w:t>
            </w:r>
          </w:p>
        </w:tc>
      </w:tr>
      <w:tr>
        <w:tc>
          <w:tcPr>
            <w:tcW w:type="dxa" w:w="3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Capital redirected into portfolio</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4A5568"/>
                <w:sz w:val="20"/>
                <w:szCs w:val="20"/>
              </w:rPr>
              <w:t xml:space="preserve">£0</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0D1B2A"/>
                <w:sz w:val="20"/>
                <w:szCs w:val="20"/>
              </w:rPr>
              <w:t xml:space="preserve">£1,088,000 — invested not lost</w:t>
            </w:r>
          </w:p>
        </w:tc>
      </w:tr>
      <w:tr>
        <w:tc>
          <w:tcPr>
            <w:tcW w:type="dxa" w:w="3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Portfolio exits (yr 5 onwards)</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4A5568"/>
                <w:sz w:val="20"/>
                <w:szCs w:val="20"/>
              </w:rPr>
              <w:t xml:space="preserve">£0</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0D1B2A"/>
                <w:sz w:val="20"/>
                <w:szCs w:val="20"/>
              </w:rPr>
              <w:t xml:space="preserve">CGT-free, recurring</w:t>
            </w:r>
          </w:p>
        </w:tc>
      </w:tr>
      <w:tr>
        <w:tc>
          <w:tcPr>
            <w:tcW w:type="dxa" w:w="3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IHT position</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4A5568"/>
                <w:sz w:val="20"/>
                <w:szCs w:val="20"/>
              </w:rPr>
              <w:t xml:space="preserve">Fully in estate</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0D1B2A"/>
                <w:sz w:val="20"/>
                <w:szCs w:val="20"/>
              </w:rPr>
              <w:t xml:space="preserve">Full active portfolio outside estate</w:t>
            </w:r>
          </w:p>
        </w:tc>
      </w:tr>
      <w:tr>
        <w:tc>
          <w:tcPr>
            <w:tcW w:type="dxa" w:w="3360"/>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Tax saved vs paying in full</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bCs/>
                <w:i w:val="false"/>
                <w:iCs w:val="false"/>
                <w:color w:val="C0392B"/>
                <w:sz w:val="20"/>
                <w:szCs w:val="20"/>
              </w:rPr>
              <w:t xml:space="preserve">£0</w:t>
            </w:r>
          </w:p>
        </w:tc>
        <w:tc>
          <w:tcPr>
            <w:tcW w:type="dxa" w:w="3000"/>
            <w:tcBorders>
              <w:top w:val="single" w:color="E2E8F0" w:sz="1"/>
              <w:left w:val="single" w:color="E2E8F0" w:sz="1"/>
              <w:bottom w:val="single" w:color="E2E8F0" w:sz="1"/>
              <w:right w:val="single" w:color="E2E8F0" w:sz="1"/>
            </w:tcBorders>
            <w:shd w:fill="00A499" w:val="clear"/>
            <w:tcMar>
              <w:top w:type="dxa" w:w="100"/>
              <w:left w:type="dxa" w:w="140"/>
              <w:bottom w:type="dxa" w:w="100"/>
              <w:right w:type="dxa" w:w="140"/>
            </w:tcMar>
          </w:tcPr>
          <w:p>
            <w:pPr>
              <w:spacing w:before="40" w:after="40"/>
              <w:jc w:val="center"/>
            </w:pPr>
            <w:r>
              <w:rPr>
                <w:rFonts w:ascii="Arial" w:cs="Arial" w:eastAsia="Arial" w:hAnsi="Arial"/>
                <w:b/>
                <w:bCs/>
                <w:i w:val="false"/>
                <w:iCs w:val="false"/>
                <w:color w:val="FFFFFF"/>
                <w:sz w:val="20"/>
                <w:szCs w:val="20"/>
              </w:rPr>
              <w:t xml:space="preserve">£1,088,000 redirected into working capital</w:t>
            </w:r>
          </w:p>
        </w:tc>
      </w:tr>
    </w:tbl>
    <w:p>
      <w:pPr>
        <w:spacing w:before="0" w:after="0"/>
      </w:pPr>
      <w:r>
        <w:rPr>
          <w:rFonts w:ascii="Arial" w:cs="Arial" w:eastAsia="Arial" w:hAnsi="Arial"/>
          <w:b w:val="false"/>
          <w:bCs w:val="false"/>
          <w:i w:val="false"/>
          <w:iCs w:val="false"/>
          <w:color w:val="4A5568"/>
          <w:sz w:val="22"/>
          <w:szCs w:val="22"/>
        </w:rPr>
        <w:t xml:space="preserve"/>
      </w:r>
    </w:p>
    <w:p>
      <w:pPr>
        <w:spacing w:before="40" w:after="60" w:line="288"/>
        <w:jc w:val="left"/>
      </w:pPr>
      <w:r>
        <w:rPr>
          <w:rFonts w:ascii="Arial" w:cs="Arial" w:eastAsia="Arial" w:hAnsi="Arial"/>
          <w:b w:val="false"/>
          <w:bCs w:val="false"/>
          <w:i/>
          <w:iCs/>
          <w:color w:val="6B7280"/>
          <w:sz w:val="18"/>
          <w:szCs w:val="18"/>
        </w:rPr>
        <w:t xml:space="preserve">Phase 1: 2025/26 tax rates applied illustratively. SEIS relief at 50% on up to £200,000; EIS at 30% on up to £1M. All figures illustrative. Capital at risk.</w:t>
      </w:r>
    </w:p>
    <w:p>
      <w:pPr>
        <w:spacing w:before="0" w:after="0"/>
      </w:pPr>
      <w:r>
        <w:rPr>
          <w:rFonts w:ascii="Arial" w:cs="Arial" w:eastAsia="Arial" w:hAnsi="Arial"/>
          <w:b w:val="false"/>
          <w:bCs w:val="false"/>
          <w:i w:val="false"/>
          <w:iCs w:val="false"/>
          <w:color w:val="4A5568"/>
          <w:sz w:val="22"/>
          <w:szCs w:val="22"/>
        </w:rPr>
        <w:t xml:space="preserve"/>
      </w:r>
    </w:p>
    <w:p>
      <w:pPr>
        <w:spacing w:before="280" w:after="120"/>
      </w:pPr>
      <w:r>
        <w:rPr>
          <w:rFonts w:ascii="Arial" w:cs="Arial" w:eastAsia="Arial" w:hAnsi="Arial"/>
          <w:b/>
          <w:bCs/>
          <w:i w:val="false"/>
          <w:iCs w:val="false"/>
          <w:color w:val="0D1B2A"/>
          <w:sz w:val="28"/>
          <w:szCs w:val="28"/>
        </w:rPr>
        <w:t xml:space="preserve">The Business Sale — Age 67</w:t>
      </w:r>
    </w:p>
    <w:p>
      <w:pPr>
        <w:spacing w:before="60" w:after="100" w:line="300"/>
        <w:jc w:val="left"/>
      </w:pPr>
      <w:r>
        <w:rPr>
          <w:rFonts w:ascii="Arial" w:cs="Arial" w:eastAsia="Arial" w:hAnsi="Arial"/>
          <w:b w:val="false"/>
          <w:bCs w:val="false"/>
          <w:i w:val="false"/>
          <w:iCs w:val="false"/>
          <w:color w:val="4A5568"/>
          <w:sz w:val="22"/>
          <w:szCs w:val="22"/>
        </w:rPr>
        <w:t xml:space="preserve">Richard sells his business. Net proceeds generate a gain of approximately £600,000. After Business Asset Disposal Relief at 18% — the rate applicable from 6 April 2026 — his CGT liability stands at £108,000. In the year of the sale, he invests £400,000 into EIS-qualifying companies, deferring that liability in full. The EIS investment for CGT deferral must be made within one year before or three years after the date of the gain. If he holds the shares until death, under current rules the deferred gain is extinguished entirely.</w:t>
      </w:r>
    </w:p>
    <w:p>
      <w:pPr>
        <w:spacing w:before="60" w:after="100" w:line="300"/>
        <w:jc w:val="left"/>
      </w:pPr>
      <w:r>
        <w:rPr>
          <w:rFonts w:ascii="Arial" w:cs="Arial" w:eastAsia="Arial" w:hAnsi="Arial"/>
          <w:b w:val="false"/>
          <w:bCs w:val="false"/>
          <w:i w:val="false"/>
          <w:iCs w:val="false"/>
          <w:color w:val="4A5568"/>
          <w:sz w:val="22"/>
          <w:szCs w:val="22"/>
        </w:rPr>
        <w:t xml:space="preserve">But the sale creates a second problem the CGT deferral doesn’t solve. For seventeen years the business provided Business Property Relief — its value sat entirely outside his estate. The moment it sells, the proceeds become fully IHT-exposed at 40%. His estate moves overnight from substantially sheltered to substantially taxable.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499" w:sz="6"/>
              <w:left w:val="none" w:color="FFFFFF" w:sz="0"/>
              <w:bottom w:val="single" w:color="00A499" w:sz="6"/>
              <w:right w:val="none" w:color="FFFFFF" w:sz="0"/>
            </w:tcBorders>
            <w:shd w:fill="E6F7F6" w:val="clear"/>
            <w:tcMar>
              <w:top w:type="dxa" w:w="160"/>
              <w:left w:type="dxa" w:w="240"/>
              <w:bottom w:type="dxa" w:w="160"/>
              <w:right w:type="dxa" w:w="240"/>
            </w:tcMar>
          </w:tcPr>
          <w:p>
            <w:pPr>
              <w:spacing w:before="0" w:after="0"/>
              <w:jc w:val="center"/>
            </w:pPr>
            <w:r>
              <w:rPr>
                <w:rFonts w:ascii="Arial" w:cs="Arial" w:eastAsia="Arial" w:hAnsi="Arial"/>
                <w:b w:val="false"/>
                <w:bCs w:val="false"/>
                <w:i/>
                <w:iCs/>
                <w:color w:val="0D1B2A"/>
                <w:sz w:val="22"/>
                <w:szCs w:val="22"/>
              </w:rPr>
              <w:t xml:space="preserve">Richard’s EIS portfolio — built across seventeen years of annual investment — already sits outside his estate entirely. The business sale changes his income, his CGT position, and his estate exposure. It does not undo what the EIS portfolio has already achieved.</w:t>
            </w:r>
          </w:p>
        </w:tc>
      </w:tr>
    </w:tbl>
    <w:p>
      <w:pPr>
        <w:spacing w:before="0" w:after="0"/>
      </w:pPr>
      <w:r>
        <w:rPr>
          <w:rFonts w:ascii="Arial" w:cs="Arial" w:eastAsia="Arial" w:hAnsi="Arial"/>
          <w:b w:val="false"/>
          <w:bCs w:val="false"/>
          <w:i w:val="false"/>
          <w:iCs w:val="false"/>
          <w:color w:val="4A5568"/>
          <w:sz w:val="22"/>
          <w:szCs w:val="22"/>
        </w:rPr>
        <w:t xml:space="preserve"/>
      </w:r>
    </w:p>
    <w:p>
      <w:pPr>
        <w:spacing w:before="280" w:after="120"/>
      </w:pPr>
      <w:r>
        <w:rPr>
          <w:rFonts w:ascii="Arial" w:cs="Arial" w:eastAsia="Arial" w:hAnsi="Arial"/>
          <w:b/>
          <w:bCs/>
          <w:i w:val="false"/>
          <w:iCs w:val="false"/>
          <w:color w:val="0D1B2A"/>
          <w:sz w:val="28"/>
          <w:szCs w:val="28"/>
        </w:rPr>
        <w:t xml:space="preserve">Phase 2: Age 67–80 — Protection and Continuity</w:t>
      </w:r>
    </w:p>
    <w:p>
      <w:pPr>
        <w:spacing w:before="60" w:after="100" w:line="300"/>
        <w:jc w:val="left"/>
      </w:pPr>
      <w:r>
        <w:rPr>
          <w:rFonts w:ascii="Arial" w:cs="Arial" w:eastAsia="Arial" w:hAnsi="Arial"/>
          <w:b w:val="false"/>
          <w:bCs w:val="false"/>
          <w:i w:val="false"/>
          <w:iCs w:val="false"/>
          <w:color w:val="4A5568"/>
          <w:sz w:val="22"/>
          <w:szCs w:val="22"/>
        </w:rPr>
        <w:t xml:space="preserve">In retirement, Richard draws pension, rental income, and dividends — around £90,000 a year, generating a £23,000 income tax bill. He continues investing annually: £50,000 into SEIS, £40,000 into EIS. Annual tax relief, capped at his liability: £23,000. The EIS investment runs the BPR clock — removing £90,000 from his taxable estate each year. Thirteen years in, approximately £1,390,000 of post-sale assets sit outside his estate. The IHT saving on those assets alone: approximately £556,000.</w:t>
      </w:r>
    </w:p>
    <w:p>
      <w:pPr>
        <w:spacing w:before="0" w:after="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Phase 2 outcome</w:t>
            </w:r>
          </w:p>
        </w:tc>
        <w:tc>
          <w:tcPr>
            <w:tcW w:type="dxa" w:w="3000"/>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Without EIS</w:t>
            </w:r>
          </w:p>
        </w:tc>
        <w:tc>
          <w:tcPr>
            <w:tcW w:type="dxa" w:w="3000"/>
            <w:gridSpan w:val="1"/>
            <w:tcBorders>
              <w:top w:val="single" w:color="E2E8F0" w:sz="1"/>
              <w:left w:val="single" w:color="E2E8F0" w:sz="1"/>
              <w:bottom w:val="single" w:color="E2E8F0" w:sz="1"/>
              <w:right w:val="single" w:color="E2E8F0" w:sz="1"/>
            </w:tcBorders>
            <w:shd w:fill="00A499"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With EIS</w:t>
            </w:r>
          </w:p>
        </w:tc>
      </w:tr>
      <w:tr>
        <w:tc>
          <w:tcPr>
            <w:tcW w:type="dxa" w:w="3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CGT on business sale (£600k gain)</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4A5568"/>
                <w:sz w:val="20"/>
                <w:szCs w:val="20"/>
              </w:rPr>
              <w:t xml:space="preserve">£108,000 paid</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0D1B2A"/>
                <w:sz w:val="20"/>
                <w:szCs w:val="20"/>
              </w:rPr>
              <w:t xml:space="preserve">Deferred — extinguished on death</w:t>
            </w:r>
          </w:p>
        </w:tc>
      </w:tr>
      <w:tr>
        <w:tc>
          <w:tcPr>
            <w:tcW w:type="dxa" w:w="3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Post-sale assets in estate (13yr)</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4A5568"/>
                <w:sz w:val="20"/>
                <w:szCs w:val="20"/>
              </w:rPr>
              <w:t xml:space="preserve">£1,390,000 IHT-exposed</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0D1B2A"/>
                <w:sz w:val="20"/>
                <w:szCs w:val="20"/>
              </w:rPr>
              <w:t xml:space="preserve">£1,390,000 outside estate</w:t>
            </w:r>
          </w:p>
        </w:tc>
      </w:tr>
      <w:tr>
        <w:tc>
          <w:tcPr>
            <w:tcW w:type="dxa" w:w="3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IHT saving on exempt assets</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4A5568"/>
                <w:sz w:val="20"/>
                <w:szCs w:val="20"/>
              </w:rPr>
              <w:t xml:space="preserve">£0</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0D1B2A"/>
                <w:sz w:val="20"/>
                <w:szCs w:val="20"/>
              </w:rPr>
              <w:t xml:space="preserve">~£556,000</w:t>
            </w:r>
          </w:p>
        </w:tc>
      </w:tr>
      <w:tr>
        <w:tc>
          <w:tcPr>
            <w:tcW w:type="dxa" w:w="3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Income tax relief (13yr)</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4A5568"/>
                <w:sz w:val="20"/>
                <w:szCs w:val="20"/>
              </w:rPr>
              <w:t xml:space="preserve">£0</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0D1B2A"/>
                <w:sz w:val="20"/>
                <w:szCs w:val="20"/>
              </w:rPr>
              <w:t xml:space="preserve">£300,000</w:t>
            </w:r>
          </w:p>
        </w:tc>
      </w:tr>
      <w:tr>
        <w:tc>
          <w:tcPr>
            <w:tcW w:type="dxa" w:w="3360"/>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Phase 2 portfolio (base case, yr 13)</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bCs/>
                <w:i w:val="false"/>
                <w:iCs w:val="false"/>
                <w:color w:val="C0392B"/>
                <w:sz w:val="20"/>
                <w:szCs w:val="20"/>
              </w:rPr>
              <w:t xml:space="preserve">£0</w:t>
            </w:r>
          </w:p>
        </w:tc>
        <w:tc>
          <w:tcPr>
            <w:tcW w:type="dxa" w:w="3000"/>
            <w:tcBorders>
              <w:top w:val="single" w:color="E2E8F0" w:sz="1"/>
              <w:left w:val="single" w:color="E2E8F0" w:sz="1"/>
              <w:bottom w:val="single" w:color="E2E8F0" w:sz="1"/>
              <w:right w:val="single" w:color="E2E8F0" w:sz="1"/>
            </w:tcBorders>
            <w:shd w:fill="00A499" w:val="clear"/>
            <w:tcMar>
              <w:top w:type="dxa" w:w="100"/>
              <w:left w:type="dxa" w:w="140"/>
              <w:bottom w:type="dxa" w:w="100"/>
              <w:right w:type="dxa" w:w="140"/>
            </w:tcMar>
          </w:tcPr>
          <w:p>
            <w:pPr>
              <w:spacing w:before="40" w:after="40"/>
              <w:jc w:val="center"/>
            </w:pPr>
            <w:r>
              <w:rPr>
                <w:rFonts w:ascii="Arial" w:cs="Arial" w:eastAsia="Arial" w:hAnsi="Arial"/>
                <w:b/>
                <w:bCs/>
                <w:i w:val="false"/>
                <w:iCs w:val="false"/>
                <w:color w:val="FFFFFF"/>
                <w:sz w:val="20"/>
                <w:szCs w:val="20"/>
              </w:rPr>
              <w:t xml:space="preserve">£5,829,000</w:t>
            </w:r>
          </w:p>
        </w:tc>
      </w:tr>
    </w:tbl>
    <w:p>
      <w:pPr>
        <w:spacing w:before="0" w:after="0"/>
      </w:pPr>
      <w:r>
        <w:rPr>
          <w:rFonts w:ascii="Arial" w:cs="Arial" w:eastAsia="Arial" w:hAnsi="Arial"/>
          <w:b w:val="false"/>
          <w:bCs w:val="false"/>
          <w:i w:val="false"/>
          <w:iCs w:val="false"/>
          <w:color w:val="4A5568"/>
          <w:sz w:val="22"/>
          <w:szCs w:val="22"/>
        </w:rPr>
        <w:t xml:space="preserve"/>
      </w:r>
    </w:p>
    <w:p>
      <w:pPr>
        <w:spacing w:before="40" w:after="60" w:line="288"/>
        <w:jc w:val="left"/>
      </w:pPr>
      <w:r>
        <w:rPr>
          <w:rFonts w:ascii="Arial" w:cs="Arial" w:eastAsia="Arial" w:hAnsi="Arial"/>
          <w:b w:val="false"/>
          <w:bCs w:val="false"/>
          <w:i/>
          <w:iCs/>
          <w:color w:val="6B7280"/>
          <w:sz w:val="18"/>
          <w:szCs w:val="18"/>
        </w:rPr>
        <w:t xml:space="preserve">Phase 2: £400,000 EIS CGT deferral year 0 plus 13 annual investments of £90,000 (£50,000 SEIS + £40,000 EIS). Relief capped at tax liability. IHT-exempt estimate covers cohorts clearing two-year BPR qualifying period by year 13. CGT extinguishment on death subject to rules in force at that time. All figures illustrative. Capital at risk.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200"/>
              <w:left w:type="dxa" w:w="300"/>
              <w:bottom w:type="dxa" w:w="200"/>
              <w:right w:type="dxa" w:w="300"/>
            </w:tcMar>
          </w:tcPr>
          <w:p>
            <w:pPr>
              <w:spacing w:before="0" w:after="40"/>
            </w:pPr>
            <w:r>
              <w:rPr>
                <w:rFonts w:ascii="Arial" w:cs="Arial" w:eastAsia="Arial" w:hAnsi="Arial"/>
                <w:b/>
                <w:bCs/>
                <w:i w:val="false"/>
                <w:iCs w:val="false"/>
                <w:color w:val="FFFFFF"/>
                <w:sz w:val="40"/>
                <w:szCs w:val="40"/>
              </w:rPr>
              <w:t xml:space="preserve">George</w:t>
            </w:r>
          </w:p>
          <w:p>
            <w:pPr>
              <w:spacing w:before="0" w:after="0"/>
            </w:pPr>
            <w:r>
              <w:rPr>
                <w:rFonts w:ascii="Arial" w:cs="Arial" w:eastAsia="Arial" w:hAnsi="Arial"/>
                <w:b w:val="false"/>
                <w:bCs w:val="false"/>
                <w:i/>
                <w:iCs/>
                <w:color w:val="00A499"/>
                <w:sz w:val="22"/>
                <w:szCs w:val="22"/>
              </w:rPr>
              <w:t xml:space="preserve">A pension that used to shelter his estate. From April 2027, it doesn’t.</w:t>
            </w:r>
          </w:p>
        </w:tc>
      </w:tr>
    </w:tbl>
    <w:p>
      <w:pPr>
        <w:spacing w:before="0" w:after="0"/>
      </w:pPr>
      <w:r>
        <w:rPr>
          <w:rFonts w:ascii="Arial" w:cs="Arial" w:eastAsia="Arial" w:hAnsi="Arial"/>
          <w:b w:val="false"/>
          <w:bCs w:val="false"/>
          <w:i w:val="false"/>
          <w:iCs w:val="false"/>
          <w:color w:val="4A5568"/>
          <w:sz w:val="22"/>
          <w:szCs w:val="22"/>
        </w:rPr>
        <w:t xml:space="preserve"/>
      </w:r>
    </w:p>
    <w:p>
      <w:pPr>
        <w:spacing w:before="60" w:after="100" w:line="300"/>
        <w:jc w:val="left"/>
      </w:pPr>
      <w:r>
        <w:rPr>
          <w:rFonts w:ascii="Arial" w:cs="Arial" w:eastAsia="Arial" w:hAnsi="Arial"/>
          <w:b w:val="false"/>
          <w:bCs w:val="false"/>
          <w:i w:val="false"/>
          <w:iCs w:val="false"/>
          <w:color w:val="4A5568"/>
          <w:sz w:val="22"/>
          <w:szCs w:val="22"/>
        </w:rPr>
        <w:t xml:space="preserve">George spent thirty-two years in financial services, retiring at 58 as a managing director. He lives in the Home Counties, owns his home outright, and has two adult sons. His pension pot — built carefully over three decades — stands at £1.4M. For most of his retirement that pension has been his primary estate planning tool: it sits outside his estate, his sons inherit it free of IHT, and his wealth passes efficiently.</w:t>
      </w:r>
    </w:p>
    <w:p>
      <w:pPr>
        <w:spacing w:before="60" w:after="100" w:line="300"/>
        <w:jc w:val="left"/>
      </w:pPr>
      <w:r>
        <w:rPr>
          <w:rFonts w:ascii="Arial" w:cs="Arial" w:eastAsia="Arial" w:hAnsi="Arial"/>
          <w:b w:val="false"/>
          <w:bCs w:val="false"/>
          <w:i w:val="false"/>
          <w:iCs w:val="false"/>
          <w:color w:val="4A5568"/>
          <w:sz w:val="22"/>
          <w:szCs w:val="22"/>
        </w:rPr>
        <w:t xml:space="preserve">In October 2024, that plan changed. From 6 April 2027, unused pension pots and death benefits come into scope for inheritance tax under announced government policy. George’s £1.4M pension will become fully IHT-exposed. His beneficiaries face a potential £560,000 tax bill on assets he had always assumed would pass to them intact. His estate plan, which was working, is broken.</w:t>
      </w:r>
    </w:p>
    <w:p>
      <w:pPr>
        <w:spacing w:before="0" w:after="0"/>
      </w:pPr>
      <w:r>
        <w:rPr>
          <w:rFonts w:ascii="Arial" w:cs="Arial" w:eastAsia="Arial" w:hAnsi="Arial"/>
          <w:b w:val="false"/>
          <w:bCs w:val="false"/>
          <w:i w:val="false"/>
          <w:iCs w:val="false"/>
          <w:color w:val="4A5568"/>
          <w:sz w:val="22"/>
          <w:szCs w:val="22"/>
        </w:rPr>
        <w:t xml:space="preserve"/>
      </w:r>
    </w:p>
    <w:p>
      <w:pPr>
        <w:spacing w:before="280" w:after="120"/>
      </w:pPr>
      <w:r>
        <w:rPr>
          <w:rFonts w:ascii="Arial" w:cs="Arial" w:eastAsia="Arial" w:hAnsi="Arial"/>
          <w:b/>
          <w:bCs/>
          <w:i w:val="false"/>
          <w:iCs w:val="false"/>
          <w:color w:val="0D1B2A"/>
          <w:sz w:val="28"/>
          <w:szCs w:val="28"/>
        </w:rPr>
        <w:t xml:space="preserve">The Problem in Numbers</w:t>
      </w:r>
    </w:p>
    <w:p>
      <w:pPr>
        <w:spacing w:before="0" w:after="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
            </w:r>
          </w:p>
        </w:tc>
        <w:tc>
          <w:tcPr>
            <w:tcW w:type="dxa" w:w="3120"/>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Before April 2027</w:t>
            </w:r>
          </w:p>
        </w:tc>
        <w:tc>
          <w:tcPr>
            <w:tcW w:type="dxa" w:w="3120"/>
            <w:gridSpan w:val="1"/>
            <w:tcBorders>
              <w:top w:val="single" w:color="E2E8F0" w:sz="1"/>
              <w:left w:val="single" w:color="E2E8F0" w:sz="1"/>
              <w:bottom w:val="single" w:color="E2E8F0" w:sz="1"/>
              <w:right w:val="single" w:color="E2E8F0" w:sz="1"/>
            </w:tcBorders>
            <w:shd w:fill="00A499"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After April 2027</w:t>
            </w:r>
          </w:p>
        </w:tc>
      </w:tr>
      <w:tr>
        <w:tc>
          <w:tcPr>
            <w:tcW w:type="dxa" w:w="3120"/>
            <w:gridSpan w:val="1"/>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D1B2A"/>
                <w:sz w:val="20"/>
                <w:szCs w:val="20"/>
              </w:rPr>
              <w:t xml:space="preserve">Pension pot</w:t>
            </w:r>
          </w:p>
        </w:tc>
        <w:tc>
          <w:tcPr>
            <w:tcW w:type="dxa" w:w="312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4A5568"/>
                <w:sz w:val="20"/>
                <w:szCs w:val="20"/>
              </w:rPr>
              <w:t xml:space="preserve">£1,400,000</w:t>
            </w:r>
          </w:p>
        </w:tc>
        <w:tc>
          <w:tcPr>
            <w:tcW w:type="dxa" w:w="3120"/>
            <w:gridSpan w:val="1"/>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4A5568"/>
                <w:sz w:val="20"/>
                <w:szCs w:val="20"/>
              </w:rPr>
              <w:t xml:space="preserve">£1,400,000</w:t>
            </w:r>
          </w:p>
        </w:tc>
      </w:tr>
      <w:tr>
        <w:tc>
          <w:tcPr>
            <w:tcW w:type="dxa" w:w="3120"/>
            <w:gridSpan w:val="1"/>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D1B2A"/>
                <w:sz w:val="20"/>
                <w:szCs w:val="20"/>
              </w:rPr>
              <w:t xml:space="preserve">IHT exposure</w:t>
            </w:r>
          </w:p>
        </w:tc>
        <w:tc>
          <w:tcPr>
            <w:tcW w:type="dxa" w:w="3120"/>
            <w:gridSpan w:val="1"/>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before="40" w:after="40"/>
              <w:jc w:val="center"/>
            </w:pPr>
            <w:r>
              <w:rPr>
                <w:rFonts w:ascii="Arial" w:cs="Arial" w:eastAsia="Arial" w:hAnsi="Arial"/>
                <w:b w:val="false"/>
                <w:bCs w:val="false"/>
                <w:i w:val="false"/>
                <w:iCs w:val="false"/>
                <w:color w:val="4A5568"/>
                <w:sz w:val="20"/>
                <w:szCs w:val="20"/>
              </w:rPr>
              <w:t xml:space="preserve">£0</w:t>
            </w:r>
          </w:p>
        </w:tc>
        <w:tc>
          <w:tcPr>
            <w:tcW w:type="dxa" w:w="312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C0392B"/>
                <w:sz w:val="20"/>
                <w:szCs w:val="20"/>
              </w:rPr>
              <w:t xml:space="preserve">£560,000</w:t>
            </w:r>
          </w:p>
        </w:tc>
      </w:tr>
      <w:tr>
        <w:tc>
          <w:tcPr>
            <w:tcW w:type="dxa" w:w="3120"/>
            <w:gridSpan w:val="1"/>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D1B2A"/>
                <w:sz w:val="20"/>
                <w:szCs w:val="20"/>
              </w:rPr>
              <w:t xml:space="preserve">Current estate plan</w:t>
            </w:r>
          </w:p>
        </w:tc>
        <w:tc>
          <w:tcPr>
            <w:tcW w:type="dxa" w:w="312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00A499"/>
                <w:sz w:val="20"/>
                <w:szCs w:val="20"/>
              </w:rPr>
              <w:t xml:space="preserve">Working</w:t>
            </w:r>
          </w:p>
        </w:tc>
        <w:tc>
          <w:tcPr>
            <w:tcW w:type="dxa" w:w="312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C0392B"/>
                <w:sz w:val="20"/>
                <w:szCs w:val="20"/>
              </w:rPr>
              <w:t xml:space="preserve">Broken</w:t>
            </w:r>
          </w:p>
        </w:tc>
      </w:tr>
    </w:tbl>
    <w:p>
      <w:pPr>
        <w:spacing w:before="0" w:after="0"/>
      </w:pPr>
      <w:r>
        <w:rPr>
          <w:rFonts w:ascii="Arial" w:cs="Arial" w:eastAsia="Arial" w:hAnsi="Arial"/>
          <w:b w:val="false"/>
          <w:bCs w:val="false"/>
          <w:i w:val="false"/>
          <w:iCs w:val="false"/>
          <w:color w:val="4A5568"/>
          <w:sz w:val="22"/>
          <w:szCs w:val="22"/>
        </w:rPr>
        <w:t xml:space="preserve"/>
      </w:r>
    </w:p>
    <w:p>
      <w:pPr>
        <w:spacing w:before="280" w:after="120"/>
      </w:pPr>
      <w:r>
        <w:rPr>
          <w:rFonts w:ascii="Arial" w:cs="Arial" w:eastAsia="Arial" w:hAnsi="Arial"/>
          <w:b/>
          <w:bCs/>
          <w:i w:val="false"/>
          <w:iCs w:val="false"/>
          <w:color w:val="0D1B2A"/>
          <w:sz w:val="28"/>
          <w:szCs w:val="28"/>
        </w:rPr>
        <w:t xml:space="preserve">What EIS Does for George</w:t>
      </w:r>
    </w:p>
    <w:p>
      <w:pPr>
        <w:spacing w:before="60" w:after="100" w:line="300"/>
        <w:jc w:val="left"/>
      </w:pPr>
      <w:r>
        <w:rPr>
          <w:rFonts w:ascii="Arial" w:cs="Arial" w:eastAsia="Arial" w:hAnsi="Arial"/>
          <w:b w:val="false"/>
          <w:bCs w:val="false"/>
          <w:i w:val="false"/>
          <w:iCs w:val="false"/>
          <w:color w:val="4A5568"/>
          <w:sz w:val="22"/>
          <w:szCs w:val="22"/>
        </w:rPr>
        <w:t xml:space="preserve">George’s retirement income is around £65,000 a year, generating roughly £12,000 in income tax. He is not a high earner. But he has a specific, urgent estate planning problem that conventional tools no longer solve.</w:t>
      </w:r>
    </w:p>
    <w:p>
      <w:pPr>
        <w:spacing w:before="60" w:after="100" w:line="300"/>
        <w:jc w:val="left"/>
      </w:pPr>
      <w:r>
        <w:rPr>
          <w:rFonts w:ascii="Arial" w:cs="Arial" w:eastAsia="Arial" w:hAnsi="Arial"/>
          <w:b w:val="false"/>
          <w:bCs w:val="false"/>
          <w:i w:val="false"/>
          <w:iCs w:val="false"/>
          <w:color w:val="4A5568"/>
          <w:sz w:val="22"/>
          <w:szCs w:val="22"/>
        </w:rPr>
        <w:t xml:space="preserve">EIS shares held for two years qualify for Business Property Relief and pass outside the estate — exactly what the pension used to do. Each year George invests, another cohort starts its BPR clock. He invests £35,000 a year — £20,000 into SEIS, £15,000 into EIS — generating £12,000 in combined relief applied in full against his tax bill.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499" w:sz="6"/>
              <w:left w:val="none" w:color="FFFFFF" w:sz="0"/>
              <w:bottom w:val="single" w:color="00A499" w:sz="6"/>
              <w:right w:val="none" w:color="FFFFFF" w:sz="0"/>
            </w:tcBorders>
            <w:shd w:fill="E6F7F6" w:val="clear"/>
            <w:tcMar>
              <w:top w:type="dxa" w:w="160"/>
              <w:left w:type="dxa" w:w="240"/>
              <w:bottom w:type="dxa" w:w="160"/>
              <w:right w:type="dxa" w:w="240"/>
            </w:tcMar>
          </w:tcPr>
          <w:p>
            <w:pPr>
              <w:spacing w:before="0" w:after="0"/>
              <w:jc w:val="center"/>
            </w:pPr>
            <w:r>
              <w:rPr>
                <w:rFonts w:ascii="Arial" w:cs="Arial" w:eastAsia="Arial" w:hAnsi="Arial"/>
                <w:b w:val="false"/>
                <w:bCs w:val="false"/>
                <w:i/>
                <w:iCs/>
                <w:color w:val="0D1B2A"/>
                <w:sz w:val="22"/>
                <w:szCs w:val="22"/>
              </w:rPr>
              <w:t xml:space="preserve">George isn’t trying to build a growth portfolio. He is rebuilding an estate plan that was working until the rules changed. EIS gives him a structure that does what the pension used to do — with income tax relief along the way.</w:t>
            </w:r>
          </w:p>
        </w:tc>
      </w:tr>
    </w:tbl>
    <w:p>
      <w:pPr>
        <w:spacing w:before="0" w:after="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Outcome</w:t>
            </w:r>
          </w:p>
        </w:tc>
        <w:tc>
          <w:tcPr>
            <w:tcW w:type="dxa" w:w="3000"/>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Without EIS</w:t>
            </w:r>
          </w:p>
        </w:tc>
        <w:tc>
          <w:tcPr>
            <w:tcW w:type="dxa" w:w="3000"/>
            <w:gridSpan w:val="1"/>
            <w:tcBorders>
              <w:top w:val="single" w:color="E2E8F0" w:sz="1"/>
              <w:left w:val="single" w:color="E2E8F0" w:sz="1"/>
              <w:bottom w:val="single" w:color="E2E8F0" w:sz="1"/>
              <w:right w:val="single" w:color="E2E8F0" w:sz="1"/>
            </w:tcBorders>
            <w:shd w:fill="00A499"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With EIS</w:t>
            </w:r>
          </w:p>
        </w:tc>
      </w:tr>
      <w:tr>
        <w:tc>
          <w:tcPr>
            <w:tcW w:type="dxa" w:w="3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Assets outside estate at year 2</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4A5568"/>
                <w:sz w:val="20"/>
                <w:szCs w:val="20"/>
              </w:rPr>
              <w:t xml:space="preserve">£0</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0D1B2A"/>
                <w:sz w:val="20"/>
                <w:szCs w:val="20"/>
              </w:rPr>
              <w:t xml:space="preserve">£70,000</w:t>
            </w:r>
          </w:p>
        </w:tc>
      </w:tr>
      <w:tr>
        <w:tc>
          <w:tcPr>
            <w:tcW w:type="dxa" w:w="3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Assets outside estate at year 5</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4A5568"/>
                <w:sz w:val="20"/>
                <w:szCs w:val="20"/>
              </w:rPr>
              <w:t xml:space="preserve">£0</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0D1B2A"/>
                <w:sz w:val="20"/>
                <w:szCs w:val="20"/>
              </w:rPr>
              <w:t xml:space="preserve">£175,000</w:t>
            </w:r>
          </w:p>
        </w:tc>
      </w:tr>
      <w:tr>
        <w:tc>
          <w:tcPr>
            <w:tcW w:type="dxa" w:w="3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Assets outside estate at year 10</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4A5568"/>
                <w:sz w:val="20"/>
                <w:szCs w:val="20"/>
              </w:rPr>
              <w:t xml:space="preserve">£0</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0D1B2A"/>
                <w:sz w:val="20"/>
                <w:szCs w:val="20"/>
              </w:rPr>
              <w:t xml:space="preserve">£350,000</w:t>
            </w:r>
          </w:p>
        </w:tc>
      </w:tr>
      <w:tr>
        <w:tc>
          <w:tcPr>
            <w:tcW w:type="dxa" w:w="3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IHT saving at year 10</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4A5568"/>
                <w:sz w:val="20"/>
                <w:szCs w:val="20"/>
              </w:rPr>
              <w:t xml:space="preserve">£0</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0D1B2A"/>
                <w:sz w:val="20"/>
                <w:szCs w:val="20"/>
              </w:rPr>
              <w:t xml:space="preserve">£140,000</w:t>
            </w:r>
          </w:p>
        </w:tc>
      </w:tr>
      <w:tr>
        <w:tc>
          <w:tcPr>
            <w:tcW w:type="dxa" w:w="3360"/>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Income tax relief (10yr)</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4A5568"/>
                <w:sz w:val="20"/>
                <w:szCs w:val="20"/>
              </w:rPr>
              <w:t xml:space="preserve">£0</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val="false"/>
                <w:bCs w:val="false"/>
                <w:i w:val="false"/>
                <w:iCs w:val="false"/>
                <w:color w:val="0D1B2A"/>
                <w:sz w:val="20"/>
                <w:szCs w:val="20"/>
              </w:rPr>
              <w:t xml:space="preserve">£120,000</w:t>
            </w:r>
          </w:p>
        </w:tc>
      </w:tr>
      <w:tr>
        <w:tc>
          <w:tcPr>
            <w:tcW w:type="dxa" w:w="3360"/>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Portfolio value at year 10 (base case)</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before="40" w:after="40"/>
              <w:jc w:val="center"/>
            </w:pPr>
            <w:r>
              <w:rPr>
                <w:rFonts w:ascii="Arial" w:cs="Arial" w:eastAsia="Arial" w:hAnsi="Arial"/>
                <w:b/>
                <w:bCs/>
                <w:i w:val="false"/>
                <w:iCs w:val="false"/>
                <w:color w:val="C0392B"/>
                <w:sz w:val="20"/>
                <w:szCs w:val="20"/>
              </w:rPr>
              <w:t xml:space="preserve">£0</w:t>
            </w:r>
          </w:p>
        </w:tc>
        <w:tc>
          <w:tcPr>
            <w:tcW w:type="dxa" w:w="3000"/>
            <w:tcBorders>
              <w:top w:val="single" w:color="E2E8F0" w:sz="1"/>
              <w:left w:val="single" w:color="E2E8F0" w:sz="1"/>
              <w:bottom w:val="single" w:color="E2E8F0" w:sz="1"/>
              <w:right w:val="single" w:color="E2E8F0" w:sz="1"/>
            </w:tcBorders>
            <w:shd w:fill="00A499" w:val="clear"/>
            <w:tcMar>
              <w:top w:type="dxa" w:w="100"/>
              <w:left w:type="dxa" w:w="140"/>
              <w:bottom w:type="dxa" w:w="100"/>
              <w:right w:type="dxa" w:w="140"/>
            </w:tcMar>
          </w:tcPr>
          <w:p>
            <w:pPr>
              <w:spacing w:before="40" w:after="40"/>
              <w:jc w:val="center"/>
            </w:pPr>
            <w:r>
              <w:rPr>
                <w:rFonts w:ascii="Arial" w:cs="Arial" w:eastAsia="Arial" w:hAnsi="Arial"/>
                <w:b/>
                <w:bCs/>
                <w:i w:val="false"/>
                <w:iCs w:val="false"/>
                <w:color w:val="FFFFFF"/>
                <w:sz w:val="20"/>
                <w:szCs w:val="20"/>
              </w:rPr>
              <w:t xml:space="preserve">£573,000</w:t>
            </w:r>
          </w:p>
        </w:tc>
      </w:tr>
    </w:tbl>
    <w:p>
      <w:pPr>
        <w:spacing w:before="0" w:after="0"/>
      </w:pPr>
      <w:r>
        <w:rPr>
          <w:rFonts w:ascii="Arial" w:cs="Arial" w:eastAsia="Arial" w:hAnsi="Arial"/>
          <w:b w:val="false"/>
          <w:bCs w:val="false"/>
          <w:i w:val="false"/>
          <w:iCs w:val="false"/>
          <w:color w:val="4A5568"/>
          <w:sz w:val="22"/>
          <w:szCs w:val="22"/>
        </w:rPr>
        <w:t xml:space="preserve"/>
      </w:r>
    </w:p>
    <w:p>
      <w:pPr>
        <w:spacing w:before="40" w:after="60" w:line="288"/>
        <w:jc w:val="left"/>
      </w:pPr>
      <w:r>
        <w:rPr>
          <w:rFonts w:ascii="Arial" w:cs="Arial" w:eastAsia="Arial" w:hAnsi="Arial"/>
          <w:b w:val="false"/>
          <w:bCs w:val="false"/>
          <w:i/>
          <w:iCs/>
          <w:color w:val="6B7280"/>
          <w:sz w:val="18"/>
          <w:szCs w:val="18"/>
        </w:rPr>
        <w:t xml:space="preserve">Annual investment £35,000 (£20,000 SEIS + £15,000 EIS). Relief capped at tax liability £12,000/yr. IHT-exempt assets assume cohorts clearing 2-year BPR qualifying period. All figures illustrative. Capital at risk.</w:t>
      </w:r>
    </w:p>
    <w:p>
      <w:pPr>
        <w:spacing w:before="0" w:after="0"/>
      </w:pPr>
      <w:r>
        <w:rPr>
          <w:rFonts w:ascii="Arial" w:cs="Arial" w:eastAsia="Arial" w:hAnsi="Arial"/>
          <w:b w:val="false"/>
          <w:bCs w:val="false"/>
          <w:i w:val="false"/>
          <w:iCs w:val="false"/>
          <w:color w:val="4A5568"/>
          <w:sz w:val="22"/>
          <w:szCs w:val="22"/>
        </w:rPr>
        <w:t xml:space="preserve"/>
      </w:r>
    </w:p>
    <w:p>
      <w:pPr>
        <w:spacing w:before="60" w:after="100" w:line="300"/>
        <w:jc w:val="left"/>
      </w:pPr>
      <w:r>
        <w:rPr>
          <w:rFonts w:ascii="Arial" w:cs="Arial" w:eastAsia="Arial" w:hAnsi="Arial"/>
          <w:b w:val="false"/>
          <w:bCs w:val="false"/>
          <w:i w:val="false"/>
          <w:iCs w:val="false"/>
          <w:color w:val="4A5568"/>
          <w:sz w:val="22"/>
          <w:szCs w:val="22"/>
        </w:rPr>
        <w:t xml:space="preserve">George won’t accumulate the relief that James builds or the thirty-year arc that Richard constructs. His programme is smaller, more targeted, and more urgent. But the structure is identical — and for a man whose estate plan broke overnight in October 2024, it is the most relevant tool available to him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499" w:sz="6"/>
              <w:left w:val="none" w:color="FFFFFF" w:sz="0"/>
              <w:bottom w:val="single" w:color="00A499" w:sz="6"/>
              <w:right w:val="none" w:color="FFFFFF" w:sz="0"/>
            </w:tcBorders>
            <w:shd w:fill="E6F7F6" w:val="clear"/>
            <w:tcMar>
              <w:top w:type="dxa" w:w="160"/>
              <w:left w:type="dxa" w:w="240"/>
              <w:bottom w:type="dxa" w:w="160"/>
              <w:right w:type="dxa" w:w="240"/>
            </w:tcMar>
          </w:tcPr>
          <w:p>
            <w:pPr>
              <w:spacing w:before="0" w:after="0"/>
              <w:jc w:val="center"/>
            </w:pPr>
            <w:r>
              <w:rPr>
                <w:rFonts w:ascii="Arial" w:cs="Arial" w:eastAsia="Arial" w:hAnsi="Arial"/>
                <w:b w:val="false"/>
                <w:bCs w:val="false"/>
                <w:i/>
                <w:iCs/>
                <w:color w:val="0D1B2A"/>
                <w:sz w:val="22"/>
                <w:szCs w:val="22"/>
              </w:rPr>
              <w:t xml:space="preserve">April 2027 is not a distant deadline. Investors who start the BPR clock now will have qualifying assets outside their estate before the new rules take effect. Those who wait will not.</w:t>
            </w:r>
          </w:p>
        </w:tc>
      </w:tr>
    </w:tbl>
    <w:p>
      <w:pPr>
        <w:spacing w:before="40" w:after="60" w:line="288"/>
        <w:jc w:val="left"/>
      </w:pPr>
      <w:r>
        <w:rPr>
          <w:rFonts w:ascii="Arial" w:cs="Arial" w:eastAsia="Arial" w:hAnsi="Arial"/>
          <w:b w:val="false"/>
          <w:bCs w:val="false"/>
          <w:i/>
          <w:iCs/>
          <w:color w:val="6B7280"/>
          <w:sz w:val="18"/>
          <w:szCs w:val="18"/>
        </w:rPr>
        <w:t xml:space="preserve">IHT BPR subject to qualifying conditions and from April 2026 subject to the new £2.5M combined APR/BPR allowance. Pension IHT changes announced but subject to final legislation.</w:t>
      </w:r>
    </w:p>
    <w:p>
      <w:r>
        <w:br w:type="page"/>
      </w:r>
    </w:p>
    <w:p>
      <w:pPr>
        <w:pBdr>
          <w:bottom w:val="single" w:color="00A499" w:sz="8" w:space="6"/>
        </w:pBdr>
        <w:spacing w:before="360" w:after="180"/>
      </w:pPr>
      <w:r>
        <w:rPr>
          <w:rFonts w:ascii="Arial" w:cs="Arial" w:eastAsia="Arial" w:hAnsi="Arial"/>
          <w:b/>
          <w:bCs/>
          <w:i w:val="false"/>
          <w:iCs w:val="false"/>
          <w:color w:val="0D1B2A"/>
          <w:sz w:val="36"/>
          <w:szCs w:val="36"/>
        </w:rPr>
        <w:t xml:space="preserve">The Same Structure. Three Entirely Different Purposes.</w:t>
      </w:r>
    </w:p>
    <w:p>
      <w:pPr>
        <w:spacing w:before="60" w:after="100" w:line="300"/>
        <w:jc w:val="left"/>
      </w:pPr>
      <w:r>
        <w:rPr>
          <w:rFonts w:ascii="Arial" w:cs="Arial" w:eastAsia="Arial" w:hAnsi="Arial"/>
          <w:b w:val="false"/>
          <w:bCs w:val="false"/>
          <w:i w:val="false"/>
          <w:iCs w:val="false"/>
          <w:color w:val="4A5568"/>
          <w:sz w:val="22"/>
          <w:szCs w:val="22"/>
        </w:rPr>
        <w:t xml:space="preserve">James, Richard, and George are all using EIS and SEIS under identical legislative rules. The mechanism is the same. What they are each trying to achieve — and which of the four reliefs matters most — is almost entirely different.</w:t>
      </w:r>
    </w:p>
    <w:p>
      <w:pPr>
        <w:spacing w:before="0" w:after="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c>
          <w:tcPr>
            <w:tcW w:type="dxa" w:w="2200"/>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
            </w:r>
          </w:p>
        </w:tc>
        <w:tc>
          <w:tcPr>
            <w:tcW w:type="dxa" w:w="2387"/>
            <w:gridSpan w:val="1"/>
            <w:tcBorders>
              <w:top w:val="single" w:color="E2E8F0" w:sz="1"/>
              <w:left w:val="single" w:color="E2E8F0" w:sz="1"/>
              <w:bottom w:val="single" w:color="E2E8F0" w:sz="1"/>
              <w:right w:val="single" w:color="E2E8F0" w:sz="1"/>
            </w:tcBorders>
            <w:shd w:fill="00A499"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James</w:t>
            </w:r>
          </w:p>
        </w:tc>
        <w:tc>
          <w:tcPr>
            <w:tcW w:type="dxa" w:w="2387"/>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Richard</w:t>
            </w:r>
          </w:p>
        </w:tc>
        <w:tc>
          <w:tcPr>
            <w:tcW w:type="dxa" w:w="2386"/>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center"/>
            </w:pPr>
            <w:r>
              <w:rPr>
                <w:rFonts w:ascii="Arial" w:cs="Arial" w:eastAsia="Arial" w:hAnsi="Arial"/>
                <w:b/>
                <w:bCs/>
                <w:i w:val="false"/>
                <w:iCs w:val="false"/>
                <w:color w:val="FFFFFF"/>
                <w:sz w:val="20"/>
                <w:szCs w:val="20"/>
              </w:rPr>
              <w:t xml:space="preserve">George</w:t>
            </w:r>
          </w:p>
        </w:tc>
      </w:tr>
      <w:tr>
        <w:tc>
          <w:tcPr>
            <w:tcW w:type="dxa" w:w="2200"/>
            <w:gridSpan w:val="1"/>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D1B2A"/>
                <w:sz w:val="20"/>
                <w:szCs w:val="20"/>
              </w:rPr>
              <w:t xml:space="preserve">Profile</w:t>
            </w:r>
          </w:p>
        </w:tc>
        <w:tc>
          <w:tcPr>
            <w:tcW w:type="dxa" w:w="2387"/>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Senior partner, peak earning</w:t>
            </w:r>
          </w:p>
        </w:tc>
        <w:tc>
          <w:tcPr>
            <w:tcW w:type="dxa" w:w="2387"/>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MD pre-sale; HNW retiree post-sale</w:t>
            </w:r>
          </w:p>
        </w:tc>
        <w:tc>
          <w:tcPr>
            <w:tcW w:type="dxa" w:w="2386"/>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Retired exec, pension problem</w:t>
            </w:r>
          </w:p>
        </w:tc>
      </w:tr>
      <w:tr>
        <w:tc>
          <w:tcPr>
            <w:tcW w:type="dxa" w:w="2200"/>
            <w:gridSpan w:val="1"/>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D1B2A"/>
                <w:sz w:val="20"/>
                <w:szCs w:val="20"/>
              </w:rPr>
              <w:t xml:space="preserve">Primary objective</w:t>
            </w:r>
          </w:p>
        </w:tc>
        <w:tc>
          <w:tcPr>
            <w:tcW w:type="dxa" w:w="2387"/>
            <w:gridSpan w:val="1"/>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Redirect tax into portfolio. Build CGT-free wealth.</w:t>
            </w:r>
          </w:p>
        </w:tc>
        <w:tc>
          <w:tcPr>
            <w:tcW w:type="dxa" w:w="2387"/>
            <w:gridSpan w:val="1"/>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Phase 1: wipe income tax. Phase 2: CGT deferral + IHT rebuild.</w:t>
            </w:r>
          </w:p>
        </w:tc>
        <w:tc>
          <w:tcPr>
            <w:tcW w:type="dxa" w:w="2386"/>
            <w:gridSpan w:val="1"/>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Rebuild IHT shelter; reduce income tax along the way.</w:t>
            </w:r>
          </w:p>
        </w:tc>
      </w:tr>
      <w:tr>
        <w:tc>
          <w:tcPr>
            <w:tcW w:type="dxa" w:w="2200"/>
            <w:gridSpan w:val="1"/>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D1B2A"/>
                <w:sz w:val="20"/>
                <w:szCs w:val="20"/>
              </w:rPr>
              <w:t xml:space="preserve">Tax saved vs paying in full</w:t>
            </w:r>
          </w:p>
        </w:tc>
        <w:tc>
          <w:tcPr>
            <w:tcW w:type="dxa" w:w="2387"/>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£660,000 over 15yr</w:t>
            </w:r>
          </w:p>
        </w:tc>
        <w:tc>
          <w:tcPr>
            <w:tcW w:type="dxa" w:w="2387"/>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£1,388,000 over 30yr</w:t>
            </w:r>
          </w:p>
        </w:tc>
        <w:tc>
          <w:tcPr>
            <w:tcW w:type="dxa" w:w="2386"/>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£120,000 over 10yr + £140,000 IHT saving</w:t>
            </w:r>
          </w:p>
        </w:tc>
      </w:tr>
      <w:tr>
        <w:tc>
          <w:tcPr>
            <w:tcW w:type="dxa" w:w="2200"/>
            <w:gridSpan w:val="1"/>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D1B2A"/>
                <w:sz w:val="20"/>
                <w:szCs w:val="20"/>
              </w:rPr>
              <w:t xml:space="preserve">Key relief</w:t>
            </w:r>
          </w:p>
        </w:tc>
        <w:tc>
          <w:tcPr>
            <w:tcW w:type="dxa" w:w="2387"/>
            <w:gridSpan w:val="1"/>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Income tax + CGT exemption</w:t>
            </w:r>
          </w:p>
        </w:tc>
        <w:tc>
          <w:tcPr>
            <w:tcW w:type="dxa" w:w="2387"/>
            <w:gridSpan w:val="1"/>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CGT deferral + BPR rebuild</w:t>
            </w:r>
          </w:p>
        </w:tc>
        <w:tc>
          <w:tcPr>
            <w:tcW w:type="dxa" w:w="2386"/>
            <w:gridSpan w:val="1"/>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BPR clock replaces broken pension shelter</w:t>
            </w:r>
          </w:p>
        </w:tc>
      </w:tr>
      <w:tr>
        <w:tc>
          <w:tcPr>
            <w:tcW w:type="dxa" w:w="2200"/>
            <w:gridSpan w:val="1"/>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D1B2A"/>
                <w:sz w:val="20"/>
                <w:szCs w:val="20"/>
              </w:rPr>
              <w:t xml:space="preserve">Urgency</w:t>
            </w:r>
          </w:p>
        </w:tc>
        <w:tc>
          <w:tcPr>
            <w:tcW w:type="dxa" w:w="2387"/>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Moderate — start sooner, compound longer</w:t>
            </w:r>
          </w:p>
        </w:tc>
        <w:tc>
          <w:tcPr>
            <w:tcW w:type="dxa" w:w="2387"/>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Event-driven — tied to the sale</w:t>
            </w:r>
          </w:p>
        </w:tc>
        <w:tc>
          <w:tcPr>
            <w:tcW w:type="dxa" w:w="2386"/>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High — April 2027 deadline</w:t>
            </w:r>
          </w:p>
        </w:tc>
      </w:tr>
    </w:tbl>
    <w:p>
      <w:pPr>
        <w:spacing w:before="0" w:after="0"/>
      </w:pPr>
      <w:r>
        <w:rPr>
          <w:rFonts w:ascii="Arial" w:cs="Arial" w:eastAsia="Arial" w:hAnsi="Arial"/>
          <w:b w:val="false"/>
          <w:bCs w:val="false"/>
          <w:i w:val="false"/>
          <w:iCs w:val="false"/>
          <w:color w:val="4A5568"/>
          <w:sz w:val="22"/>
          <w:szCs w:val="22"/>
        </w:rPr>
        <w:t xml:space="preserve"/>
      </w:r>
    </w:p>
    <w:p>
      <w:pPr>
        <w:spacing w:before="0" w:after="0"/>
      </w:pPr>
      <w:r>
        <w:rPr>
          <w:rFonts w:ascii="Arial" w:cs="Arial" w:eastAsia="Arial" w:hAnsi="Arial"/>
          <w:b w:val="false"/>
          <w:bCs w:val="false"/>
          <w:i w:val="false"/>
          <w:iCs w:val="false"/>
          <w:color w:val="4A5568"/>
          <w:sz w:val="22"/>
          <w:szCs w:val="22"/>
        </w:rPr>
        <w:t xml:space="preserve"/>
      </w:r>
    </w:p>
    <w:p>
      <w:r>
        <w:br w:type="page"/>
      </w:r>
    </w:p>
    <w:p>
      <w:pPr>
        <w:pBdr>
          <w:bottom w:val="single" w:color="00A499" w:sz="8" w:space="6"/>
        </w:pBdr>
        <w:spacing w:before="360" w:after="180"/>
      </w:pPr>
      <w:r>
        <w:rPr>
          <w:rFonts w:ascii="Arial" w:cs="Arial" w:eastAsia="Arial" w:hAnsi="Arial"/>
          <w:b/>
          <w:bCs/>
          <w:i w:val="false"/>
          <w:iCs w:val="false"/>
          <w:color w:val="0D1B2A"/>
          <w:sz w:val="36"/>
          <w:szCs w:val="36"/>
        </w:rPr>
        <w:t xml:space="preserve">Reference: The Four Reliefs</w:t>
      </w:r>
    </w:p>
    <w:p>
      <w:pPr>
        <w:spacing w:before="60" w:after="100" w:line="300"/>
        <w:jc w:val="left"/>
      </w:pPr>
      <w:r>
        <w:rPr>
          <w:rFonts w:ascii="Arial" w:cs="Arial" w:eastAsia="Arial" w:hAnsi="Arial"/>
          <w:b w:val="false"/>
          <w:bCs w:val="false"/>
          <w:i w:val="false"/>
          <w:iCs w:val="false"/>
          <w:color w:val="4A5568"/>
          <w:sz w:val="22"/>
          <w:szCs w:val="22"/>
        </w:rPr>
        <w:t xml:space="preserve">The three profiles above show the reliefs in action. This section explains how each one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499" w:sz="6"/>
              <w:left w:val="none" w:color="FFFFFF" w:sz="0"/>
              <w:bottom w:val="single" w:color="00A499" w:sz="6"/>
              <w:right w:val="none" w:color="FFFFFF" w:sz="0"/>
            </w:tcBorders>
            <w:shd w:fill="E6F7F6" w:val="clear"/>
            <w:tcMar>
              <w:top w:type="dxa" w:w="160"/>
              <w:left w:type="dxa" w:w="240"/>
              <w:bottom w:type="dxa" w:w="160"/>
              <w:right w:type="dxa" w:w="240"/>
            </w:tcMar>
          </w:tcPr>
          <w:p>
            <w:pPr>
              <w:spacing w:before="0" w:after="0"/>
              <w:jc w:val="center"/>
            </w:pPr>
            <w:r>
              <w:rPr>
                <w:rFonts w:ascii="Arial" w:cs="Arial" w:eastAsia="Arial" w:hAnsi="Arial"/>
                <w:b w:val="false"/>
                <w:bCs w:val="false"/>
                <w:i/>
                <w:iCs/>
                <w:color w:val="0D1B2A"/>
                <w:sz w:val="22"/>
                <w:szCs w:val="22"/>
              </w:rPr>
              <w:t xml:space="preserve">EIS and SEIS are the only mainstream UK tax-advantaged structures that combine tax-free gains, loss relief, estate protection, and an immediate reduction in your tax bill — all four, in a single structure.</w:t>
            </w:r>
          </w:p>
        </w:tc>
      </w:tr>
    </w:tbl>
    <w:p>
      <w:pPr>
        <w:spacing w:before="0" w:after="0"/>
      </w:pPr>
      <w:r>
        <w:rPr>
          <w:rFonts w:ascii="Arial" w:cs="Arial" w:eastAsia="Arial" w:hAnsi="Arial"/>
          <w:b w:val="false"/>
          <w:bCs w:val="false"/>
          <w:i w:val="false"/>
          <w:iCs w:val="false"/>
          <w:color w:val="4A5568"/>
          <w:sz w:val="22"/>
          <w:szCs w:val="22"/>
        </w:rPr>
        <w:t xml:space="preserve"/>
      </w:r>
    </w:p>
    <w:p>
      <w:pPr>
        <w:spacing w:before="220" w:after="80"/>
      </w:pPr>
      <w:r>
        <w:rPr>
          <w:rFonts w:ascii="Arial" w:cs="Arial" w:eastAsia="Arial" w:hAnsi="Arial"/>
          <w:b/>
          <w:bCs/>
          <w:i w:val="false"/>
          <w:iCs w:val="false"/>
          <w:color w:val="00A499"/>
          <w:sz w:val="24"/>
          <w:szCs w:val="24"/>
        </w:rPr>
        <w:t xml:space="preserve">1. Income tax relief — 30% (EIS) or 50% (SEIS)</w:t>
      </w:r>
    </w:p>
    <w:p>
      <w:pPr>
        <w:spacing w:before="60" w:after="100" w:line="300"/>
        <w:jc w:val="left"/>
      </w:pPr>
      <w:r>
        <w:rPr>
          <w:rFonts w:ascii="Arial" w:cs="Arial" w:eastAsia="Arial" w:hAnsi="Arial"/>
          <w:b w:val="false"/>
          <w:bCs w:val="false"/>
          <w:i w:val="false"/>
          <w:iCs w:val="false"/>
          <w:color w:val="4A5568"/>
          <w:sz w:val="22"/>
          <w:szCs w:val="22"/>
        </w:rPr>
        <w:t xml:space="preserve">When you invest in a qualifying company, you can claim 30% of the amount invested as a reduction against your income tax bill — or 50% under SEIS, which applies to the earliest-stage companies. The relief is claimable via Self Assessment or PAYE tax code adjustment once the company has provided the EIS3 or SEIS3 certificate. Relief can also be carried back to the previous tax year.</w:t>
      </w:r>
    </w:p>
    <w:p>
      <w:pPr>
        <w:spacing w:before="0" w:after="0"/>
      </w:pPr>
      <w:r>
        <w:rPr>
          <w:rFonts w:ascii="Arial" w:cs="Arial" w:eastAsia="Arial" w:hAnsi="Arial"/>
          <w:b w:val="false"/>
          <w:bCs w:val="false"/>
          <w:i w:val="false"/>
          <w:iCs w:val="false"/>
          <w:color w:val="4A5568"/>
          <w:sz w:val="22"/>
          <w:szCs w:val="22"/>
        </w:rPr>
        <w:t xml:space="preserve"/>
      </w:r>
    </w:p>
    <w:p>
      <w:pPr>
        <w:spacing w:before="220" w:after="80"/>
      </w:pPr>
      <w:r>
        <w:rPr>
          <w:rFonts w:ascii="Arial" w:cs="Arial" w:eastAsia="Arial" w:hAnsi="Arial"/>
          <w:b/>
          <w:bCs/>
          <w:i w:val="false"/>
          <w:iCs w:val="false"/>
          <w:color w:val="00A499"/>
          <w:sz w:val="24"/>
          <w:szCs w:val="24"/>
        </w:rPr>
        <w:t xml:space="preserve">2. Capital gains tax exemption — 0%</w:t>
      </w:r>
    </w:p>
    <w:p>
      <w:pPr>
        <w:spacing w:before="60" w:after="100" w:line="300"/>
        <w:jc w:val="left"/>
      </w:pPr>
      <w:r>
        <w:rPr>
          <w:rFonts w:ascii="Arial" w:cs="Arial" w:eastAsia="Arial" w:hAnsi="Arial"/>
          <w:b w:val="false"/>
          <w:bCs w:val="false"/>
          <w:i w:val="false"/>
          <w:iCs w:val="false"/>
          <w:color w:val="4A5568"/>
          <w:sz w:val="22"/>
          <w:szCs w:val="22"/>
        </w:rPr>
        <w:t xml:space="preserve">If your investment grows and you sell after holding for at least three years, any profit is entirely exempt from Capital Gains Tax — provided the qualifying conditions are met throughout the holding period. There is no upper limit on the gain. Most investments generating capital gains are taxed at 20–24% for higher-rate taxpayers. EIS gains are exempt entirely where conditions are met.</w:t>
      </w:r>
    </w:p>
    <w:p>
      <w:pPr>
        <w:spacing w:before="0" w:after="0"/>
      </w:pPr>
      <w:r>
        <w:rPr>
          <w:rFonts w:ascii="Arial" w:cs="Arial" w:eastAsia="Arial" w:hAnsi="Arial"/>
          <w:b w:val="false"/>
          <w:bCs w:val="false"/>
          <w:i w:val="false"/>
          <w:iCs w:val="false"/>
          <w:color w:val="4A5568"/>
          <w:sz w:val="22"/>
          <w:szCs w:val="22"/>
        </w:rPr>
        <w:t xml:space="preserve"/>
      </w:r>
    </w:p>
    <w:p>
      <w:pPr>
        <w:spacing w:before="220" w:after="80"/>
      </w:pPr>
      <w:r>
        <w:rPr>
          <w:rFonts w:ascii="Arial" w:cs="Arial" w:eastAsia="Arial" w:hAnsi="Arial"/>
          <w:b/>
          <w:bCs/>
          <w:i w:val="false"/>
          <w:iCs w:val="false"/>
          <w:color w:val="00A499"/>
          <w:sz w:val="24"/>
          <w:szCs w:val="24"/>
        </w:rPr>
        <w:t xml:space="preserve">3. Loss relief</w:t>
      </w:r>
    </w:p>
    <w:p>
      <w:pPr>
        <w:spacing w:before="60" w:after="100" w:line="300"/>
        <w:jc w:val="left"/>
      </w:pPr>
      <w:r>
        <w:rPr>
          <w:rFonts w:ascii="Arial" w:cs="Arial" w:eastAsia="Arial" w:hAnsi="Arial"/>
          <w:b w:val="false"/>
          <w:bCs w:val="false"/>
          <w:i w:val="false"/>
          <w:iCs w:val="false"/>
          <w:color w:val="4A5568"/>
          <w:sz w:val="22"/>
          <w:szCs w:val="22"/>
        </w:rPr>
        <w:t xml:space="preserve">Early-stage companies fail. What EIS changes is how much you actually lose. If an investment becomes worthless, the net loss can be offset against income or Capital Gains Tax. For a 45% taxpayer: effective loss on a failed SEIS investment is approximately 27.5p per pound; on EIS approximately 38.5p — assuming income tax relief was claimed in full and loss relief is available against income at the investor’s marginal rate.</w:t>
      </w:r>
    </w:p>
    <w:p>
      <w:pPr>
        <w:spacing w:before="0" w:after="0"/>
      </w:pPr>
      <w:r>
        <w:rPr>
          <w:rFonts w:ascii="Arial" w:cs="Arial" w:eastAsia="Arial" w:hAnsi="Arial"/>
          <w:b w:val="false"/>
          <w:bCs w:val="false"/>
          <w:i w:val="false"/>
          <w:iCs w:val="false"/>
          <w:color w:val="4A5568"/>
          <w:sz w:val="22"/>
          <w:szCs w:val="22"/>
        </w:rPr>
        <w:t xml:space="preserve"/>
      </w:r>
    </w:p>
    <w:p>
      <w:pPr>
        <w:spacing w:before="220" w:after="80"/>
      </w:pPr>
      <w:r>
        <w:rPr>
          <w:rFonts w:ascii="Arial" w:cs="Arial" w:eastAsia="Arial" w:hAnsi="Arial"/>
          <w:b/>
          <w:bCs/>
          <w:i w:val="false"/>
          <w:iCs w:val="false"/>
          <w:color w:val="00A499"/>
          <w:sz w:val="24"/>
          <w:szCs w:val="24"/>
        </w:rPr>
        <w:t xml:space="preserve">4. Inheritance tax relief — 0% after two years</w:t>
      </w:r>
    </w:p>
    <w:p>
      <w:pPr>
        <w:spacing w:before="60" w:after="100" w:line="300"/>
        <w:jc w:val="left"/>
      </w:pPr>
      <w:r>
        <w:rPr>
          <w:rFonts w:ascii="Arial" w:cs="Arial" w:eastAsia="Arial" w:hAnsi="Arial"/>
          <w:b w:val="false"/>
          <w:bCs w:val="false"/>
          <w:i w:val="false"/>
          <w:iCs w:val="false"/>
          <w:color w:val="4A5568"/>
          <w:sz w:val="22"/>
          <w:szCs w:val="22"/>
        </w:rPr>
        <w:t xml:space="preserve">EIS shares held for at least two years qualify for Business Property Relief and exit your estate entirely. From 6 April 2026, a new £2.5M allowance applies to the combined value of assets qualifying for 100% Agricultural Property Relief and Business Property Relief; 50% relief applies above that threshold. Directly-held EIS and SEIS shares in unquoted companies continue to qualify within the allowance. For most EIS investors deploying at sensible annual allocations, full relief continues to apply.</w:t>
      </w:r>
    </w:p>
    <w:p>
      <w:r>
        <w:br w:type="page"/>
      </w:r>
    </w:p>
    <w:p>
      <w:pPr>
        <w:pBdr>
          <w:bottom w:val="single" w:color="00A499" w:sz="8" w:space="6"/>
        </w:pBdr>
        <w:spacing w:before="360" w:after="180"/>
      </w:pPr>
      <w:r>
        <w:rPr>
          <w:rFonts w:ascii="Arial" w:cs="Arial" w:eastAsia="Arial" w:hAnsi="Arial"/>
          <w:b/>
          <w:bCs/>
          <w:i w:val="false"/>
          <w:iCs w:val="false"/>
          <w:color w:val="0D1B2A"/>
          <w:sz w:val="36"/>
          <w:szCs w:val="36"/>
        </w:rPr>
        <w:t xml:space="preserve">Reference: Risks, Context, and Relevance</w:t>
      </w:r>
    </w:p>
    <w:p>
      <w:pPr>
        <w:spacing w:before="280" w:after="120"/>
      </w:pPr>
      <w:r>
        <w:rPr>
          <w:rFonts w:ascii="Arial" w:cs="Arial" w:eastAsia="Arial" w:hAnsi="Arial"/>
          <w:b/>
          <w:bCs/>
          <w:i w:val="false"/>
          <w:iCs w:val="false"/>
          <w:color w:val="0D1B2A"/>
          <w:sz w:val="28"/>
          <w:szCs w:val="28"/>
        </w:rPr>
        <w:t xml:space="preserve">The Risks — and They Are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none" w:color="FFFFFF" w:sz="0"/>
              <w:bottom w:val="single" w:color="C0392B" w:sz="6"/>
              <w:right w:val="none" w:color="FFFFFF" w:sz="0"/>
            </w:tcBorders>
            <w:shd w:fill="FDF2F2" w:val="clear"/>
            <w:tcMar>
              <w:top w:type="dxa" w:w="160"/>
              <w:left w:type="dxa" w:w="240"/>
              <w:bottom w:type="dxa" w:w="160"/>
              <w:right w:type="dxa" w:w="240"/>
            </w:tcMar>
          </w:tcPr>
          <w:p>
            <w:pPr>
              <w:spacing w:before="0" w:after="80"/>
            </w:pPr>
            <w:r>
              <w:rPr>
                <w:rFonts w:ascii="Arial" w:cs="Arial" w:eastAsia="Arial" w:hAnsi="Arial"/>
                <w:b/>
                <w:bCs/>
                <w:i w:val="false"/>
                <w:iCs w:val="false"/>
                <w:color w:val="C0392B"/>
                <w:sz w:val="20"/>
                <w:szCs w:val="20"/>
              </w:rPr>
              <w:t xml:space="preserve">Key risks at a glance</w:t>
            </w:r>
          </w:p>
          <w:p>
            <w:pPr>
              <w:pStyle w:val="ListParagraph"/>
              <w:numPr>
                <w:ilvl w:val="0"/>
                <w:numId w:val="2"/>
              </w:numPr>
              <w:spacing w:before="0" w:after="60"/>
            </w:pPr>
            <w:r>
              <w:rPr>
                <w:rFonts w:ascii="Arial" w:cs="Arial" w:eastAsia="Arial" w:hAnsi="Arial"/>
                <w:b w:val="false"/>
                <w:bCs w:val="false"/>
                <w:i w:val="false"/>
                <w:iCs w:val="false"/>
                <w:color w:val="4A5568"/>
                <w:sz w:val="20"/>
                <w:szCs w:val="20"/>
              </w:rPr>
              <w:t xml:space="preserve">Capital loss — a significant proportion of early-stage companies fail; individual investments may lose their entire value.</w:t>
            </w:r>
          </w:p>
          <w:p>
            <w:pPr>
              <w:pStyle w:val="ListParagraph"/>
              <w:numPr>
                <w:ilvl w:val="0"/>
                <w:numId w:val="2"/>
              </w:numPr>
              <w:spacing w:before="0" w:after="60"/>
            </w:pPr>
            <w:r>
              <w:rPr>
                <w:rFonts w:ascii="Arial" w:cs="Arial" w:eastAsia="Arial" w:hAnsi="Arial"/>
                <w:b w:val="false"/>
                <w:bCs w:val="false"/>
                <w:i w:val="false"/>
                <w:iCs w:val="false"/>
                <w:color w:val="4A5568"/>
                <w:sz w:val="20"/>
                <w:szCs w:val="20"/>
              </w:rPr>
              <w:t xml:space="preserve">Illiquidity — EIS shares are not publicly traded; capital is committed for a minimum of three years to retain income tax relief, and realistically five to ten years or more before a liquidity event.</w:t>
            </w:r>
          </w:p>
          <w:p>
            <w:pPr>
              <w:pStyle w:val="ListParagraph"/>
              <w:numPr>
                <w:ilvl w:val="0"/>
                <w:numId w:val="2"/>
              </w:numPr>
              <w:spacing w:before="0" w:after="60"/>
            </w:pPr>
            <w:r>
              <w:rPr>
                <w:rFonts w:ascii="Arial" w:cs="Arial" w:eastAsia="Arial" w:hAnsi="Arial"/>
                <w:b w:val="false"/>
                <w:bCs w:val="false"/>
                <w:i w:val="false"/>
                <w:iCs w:val="false"/>
                <w:color w:val="4A5568"/>
                <w:sz w:val="20"/>
                <w:szCs w:val="20"/>
              </w:rPr>
              <w:t xml:space="preserve">Qualification loss — if a portfolio company loses its EIS qualifying status after you have claimed income tax relief, HMRC can withdraw that relief and issue a clawback demand. This is not common, but it happens.</w:t>
            </w:r>
          </w:p>
          <w:p>
            <w:pPr>
              <w:pStyle w:val="ListParagraph"/>
              <w:numPr>
                <w:ilvl w:val="0"/>
                <w:numId w:val="2"/>
              </w:numPr>
              <w:spacing w:before="0" w:after="60"/>
            </w:pPr>
            <w:r>
              <w:rPr>
                <w:rFonts w:ascii="Arial" w:cs="Arial" w:eastAsia="Arial" w:hAnsi="Arial"/>
                <w:b w:val="false"/>
                <w:bCs w:val="false"/>
                <w:i w:val="false"/>
                <w:iCs w:val="false"/>
                <w:color w:val="4A5568"/>
                <w:sz w:val="20"/>
                <w:szCs w:val="20"/>
              </w:rPr>
              <w:t xml:space="preserve">Tax risk — EIS reliefs depend on qualifying conditions remaining met throughout the holding period; changes in legislation may affect future relief.</w:t>
            </w:r>
          </w:p>
          <w:p>
            <w:pPr>
              <w:pStyle w:val="ListParagraph"/>
              <w:numPr>
                <w:ilvl w:val="0"/>
                <w:numId w:val="2"/>
              </w:numPr>
              <w:spacing w:before="0" w:after="0"/>
            </w:pPr>
            <w:r>
              <w:rPr>
                <w:rFonts w:ascii="Arial" w:cs="Arial" w:eastAsia="Arial" w:hAnsi="Arial"/>
                <w:b w:val="false"/>
                <w:bCs w:val="false"/>
                <w:i w:val="false"/>
                <w:iCs w:val="false"/>
                <w:color w:val="4A5568"/>
                <w:sz w:val="20"/>
                <w:szCs w:val="20"/>
              </w:rPr>
              <w:t xml:space="preserve">Concentration risk — over-allocation to a small number of companies magnifies the impact of individual failures.</w:t>
            </w:r>
          </w:p>
        </w:tc>
      </w:tr>
    </w:tbl>
    <w:p>
      <w:pPr>
        <w:spacing w:before="0" w:after="0"/>
      </w:pPr>
      <w:r>
        <w:rPr>
          <w:rFonts w:ascii="Arial" w:cs="Arial" w:eastAsia="Arial" w:hAnsi="Arial"/>
          <w:b w:val="false"/>
          <w:bCs w:val="false"/>
          <w:i w:val="false"/>
          <w:iCs w:val="false"/>
          <w:color w:val="4A5568"/>
          <w:sz w:val="22"/>
          <w:szCs w:val="22"/>
        </w:rPr>
        <w:t xml:space="preserve"/>
      </w:r>
    </w:p>
    <w:p>
      <w:pPr>
        <w:spacing w:before="60" w:after="100" w:line="300"/>
        <w:jc w:val="left"/>
      </w:pPr>
      <w:r>
        <w:rPr>
          <w:rFonts w:ascii="Arial" w:cs="Arial" w:eastAsia="Arial" w:hAnsi="Arial"/>
          <w:b w:val="false"/>
          <w:bCs w:val="false"/>
          <w:i w:val="false"/>
          <w:iCs w:val="false"/>
          <w:color w:val="4A5568"/>
          <w:sz w:val="22"/>
          <w:szCs w:val="22"/>
        </w:rPr>
        <w:t xml:space="preserve">These risks are real. They are also manageable — through diversification across a portfolio of companies rather than concentration in one or two, and through sizing each year’s allocation to your actual tax liability rather than speculating beyond it.</w:t>
      </w:r>
    </w:p>
    <w:p>
      <w:pPr>
        <w:spacing w:before="0" w:after="0"/>
      </w:pPr>
      <w:r>
        <w:rPr>
          <w:rFonts w:ascii="Arial" w:cs="Arial" w:eastAsia="Arial" w:hAnsi="Arial"/>
          <w:b w:val="false"/>
          <w:bCs w:val="false"/>
          <w:i w:val="false"/>
          <w:iCs w:val="false"/>
          <w:color w:val="4A5568"/>
          <w:sz w:val="22"/>
          <w:szCs w:val="22"/>
        </w:rPr>
        <w:t xml:space="preserve"/>
      </w:r>
    </w:p>
    <w:p>
      <w:pPr>
        <w:spacing w:before="280" w:after="120"/>
      </w:pPr>
      <w:r>
        <w:rPr>
          <w:rFonts w:ascii="Arial" w:cs="Arial" w:eastAsia="Arial" w:hAnsi="Arial"/>
          <w:b/>
          <w:bCs/>
          <w:i w:val="false"/>
          <w:iCs w:val="false"/>
          <w:color w:val="0D1B2A"/>
          <w:sz w:val="28"/>
          <w:szCs w:val="28"/>
        </w:rPr>
        <w:t xml:space="preserve">Why 2026 Is a Particularly Relevant Moment</w:t>
      </w:r>
    </w:p>
    <w:p>
      <w:pPr>
        <w:spacing w:before="60" w:after="100" w:line="300"/>
        <w:jc w:val="left"/>
      </w:pPr>
      <w:r>
        <w:rPr>
          <w:rFonts w:ascii="Arial" w:cs="Arial" w:eastAsia="Arial" w:hAnsi="Arial"/>
          <w:b w:val="false"/>
          <w:bCs w:val="false"/>
          <w:i w:val="false"/>
          <w:iCs w:val="false"/>
          <w:color w:val="4A5568"/>
          <w:sz w:val="22"/>
          <w:szCs w:val="22"/>
        </w:rPr>
        <w:t xml:space="preserve">The UK tax-advantaged landscape has shifted materially this year. EIS is now the last structure standing with the full set of reliefs intact.</w:t>
      </w:r>
    </w:p>
    <w:p>
      <w:pPr>
        <w:spacing w:before="0" w:after="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Structure</w:t>
            </w:r>
          </w:p>
        </w:tc>
        <w:tc>
          <w:tcPr>
            <w:tcW w:type="dxa" w:w="3480"/>
            <w:gridSpan w:val="1"/>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Pre-2026</w:t>
            </w:r>
          </w:p>
        </w:tc>
        <w:tc>
          <w:tcPr>
            <w:tcW w:type="dxa" w:w="3480"/>
            <w:gridSpan w:val="1"/>
            <w:tcBorders>
              <w:top w:val="single" w:color="E2E8F0" w:sz="1"/>
              <w:left w:val="single" w:color="E2E8F0" w:sz="1"/>
              <w:bottom w:val="single" w:color="E2E8F0" w:sz="1"/>
              <w:right w:val="single" w:color="E2E8F0" w:sz="1"/>
            </w:tcBorders>
            <w:shd w:fill="00A499"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FFFFFF"/>
                <w:sz w:val="20"/>
                <w:szCs w:val="20"/>
              </w:rPr>
              <w:t xml:space="preserve">2026/27 Reality</w:t>
            </w:r>
          </w:p>
        </w:tc>
      </w:tr>
      <w:tr>
        <w:tc>
          <w:tcPr>
            <w:tcW w:type="dxa" w:w="2400"/>
            <w:gridSpan w:val="1"/>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D1B2A"/>
                <w:sz w:val="20"/>
                <w:szCs w:val="20"/>
              </w:rPr>
              <w:t xml:space="preserve">VCTs</w:t>
            </w:r>
          </w:p>
        </w:tc>
        <w:tc>
          <w:tcPr>
            <w:tcW w:type="dxa" w:w="348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30% income tax relief</w:t>
            </w:r>
          </w:p>
        </w:tc>
        <w:tc>
          <w:tcPr>
            <w:tcW w:type="dxa" w:w="348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C0392B"/>
                <w:sz w:val="20"/>
                <w:szCs w:val="20"/>
              </w:rPr>
              <w:t xml:space="preserve">Reduced to 20%</w:t>
            </w:r>
          </w:p>
        </w:tc>
      </w:tr>
      <w:tr>
        <w:tc>
          <w:tcPr>
            <w:tcW w:type="dxa" w:w="2400"/>
            <w:gridSpan w:val="1"/>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D1B2A"/>
                <w:sz w:val="20"/>
                <w:szCs w:val="20"/>
              </w:rPr>
              <w:t xml:space="preserve">Pensions (IHT)</w:t>
            </w:r>
          </w:p>
        </w:tc>
        <w:tc>
          <w:tcPr>
            <w:tcW w:type="dxa" w:w="3480"/>
            <w:gridSpan w:val="1"/>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Outside IHT scope</w:t>
            </w:r>
          </w:p>
        </w:tc>
        <w:tc>
          <w:tcPr>
            <w:tcW w:type="dxa" w:w="3480"/>
            <w:gridSpan w:val="1"/>
            <w:tcBorders>
              <w:top w:val="single" w:color="E2E8F0" w:sz="1"/>
              <w:left w:val="single" w:color="E2E8F0" w:sz="1"/>
              <w:bottom w:val="single" w:color="E2E8F0" w:sz="1"/>
              <w:right w:val="single" w:color="E2E8F0" w:sz="1"/>
            </w:tcBorders>
            <w:shd w:fill="F7F8FA"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C0392B"/>
                <w:sz w:val="20"/>
                <w:szCs w:val="20"/>
              </w:rPr>
              <w:t xml:space="preserve">In scope from April 2027</w:t>
            </w:r>
          </w:p>
        </w:tc>
      </w:tr>
      <w:tr>
        <w:tc>
          <w:tcPr>
            <w:tcW w:type="dxa" w:w="2400"/>
            <w:gridSpan w:val="1"/>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0D1B2A"/>
                <w:sz w:val="20"/>
                <w:szCs w:val="20"/>
              </w:rPr>
              <w:t xml:space="preserve">AIM shares (BPR)</w:t>
            </w:r>
          </w:p>
        </w:tc>
        <w:tc>
          <w:tcPr>
            <w:tcW w:type="dxa" w:w="348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100% IHT relief</w:t>
            </w:r>
          </w:p>
        </w:tc>
        <w:tc>
          <w:tcPr>
            <w:tcW w:type="dxa" w:w="348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bCs/>
                <w:i w:val="false"/>
                <w:iCs w:val="false"/>
                <w:color w:val="C0392B"/>
                <w:sz w:val="20"/>
                <w:szCs w:val="20"/>
              </w:rPr>
              <w:t xml:space="preserve">Reduced to 50% in all cases</w:t>
            </w:r>
          </w:p>
        </w:tc>
      </w:tr>
      <w:tr>
        <w:tc>
          <w:tcPr>
            <w:tcW w:type="dxa" w:w="2400"/>
            <w:tcBorders>
              <w:top w:val="single" w:color="E2E8F0" w:sz="1"/>
              <w:left w:val="single" w:color="E2E8F0" w:sz="1"/>
              <w:bottom w:val="single" w:color="E2E8F0" w:sz="1"/>
              <w:right w:val="single" w:color="E2E8F0" w:sz="1"/>
            </w:tcBorders>
            <w:shd w:fill="00A499" w:val="clear"/>
            <w:tcMar>
              <w:top w:type="dxa" w:w="100"/>
              <w:left w:type="dxa" w:w="140"/>
              <w:bottom w:type="dxa" w:w="100"/>
              <w:right w:type="dxa" w:w="140"/>
            </w:tcMar>
          </w:tcPr>
          <w:p>
            <w:pPr>
              <w:spacing w:before="40" w:after="40"/>
            </w:pPr>
            <w:r>
              <w:rPr>
                <w:rFonts w:ascii="Arial" w:cs="Arial" w:eastAsia="Arial" w:hAnsi="Arial"/>
                <w:b/>
                <w:bCs/>
                <w:i w:val="false"/>
                <w:iCs w:val="false"/>
                <w:color w:val="FFFFFF"/>
                <w:sz w:val="20"/>
                <w:szCs w:val="20"/>
              </w:rPr>
              <w:t xml:space="preserve">EIS / SEIS</w:t>
            </w:r>
          </w:p>
        </w:tc>
        <w:tc>
          <w:tcPr>
            <w:tcW w:type="dxa" w:w="348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before="40" w:after="40"/>
              <w:jc w:val="left"/>
            </w:pPr>
            <w:r>
              <w:rPr>
                <w:rFonts w:ascii="Arial" w:cs="Arial" w:eastAsia="Arial" w:hAnsi="Arial"/>
                <w:b w:val="false"/>
                <w:bCs w:val="false"/>
                <w:i w:val="false"/>
                <w:iCs w:val="false"/>
                <w:color w:val="4A5568"/>
                <w:sz w:val="20"/>
                <w:szCs w:val="20"/>
              </w:rPr>
              <w:t xml:space="preserve">30% / 50% relief</w:t>
            </w:r>
          </w:p>
        </w:tc>
        <w:tc>
          <w:tcPr>
            <w:tcW w:type="dxa" w:w="3480"/>
            <w:tcBorders>
              <w:top w:val="single" w:color="E2E8F0" w:sz="1"/>
              <w:left w:val="single" w:color="E2E8F0" w:sz="1"/>
              <w:bottom w:val="single" w:color="E2E8F0" w:sz="1"/>
              <w:right w:val="single" w:color="E2E8F0" w:sz="1"/>
            </w:tcBorders>
            <w:shd w:fill="E6F7F6" w:val="clear"/>
            <w:tcMar>
              <w:top w:type="dxa" w:w="100"/>
              <w:left w:type="dxa" w:w="140"/>
              <w:bottom w:type="dxa" w:w="100"/>
              <w:right w:type="dxa" w:w="140"/>
            </w:tcMar>
          </w:tcPr>
          <w:p>
            <w:pPr>
              <w:spacing w:before="40" w:after="40"/>
            </w:pPr>
            <w:r>
              <w:rPr>
                <w:rFonts w:ascii="Arial" w:cs="Arial" w:eastAsia="Arial" w:hAnsi="Arial"/>
                <w:b/>
                <w:bCs/>
                <w:i w:val="false"/>
                <w:iCs w:val="false"/>
                <w:color w:val="0D1B2A"/>
                <w:sz w:val="20"/>
                <w:szCs w:val="20"/>
              </w:rPr>
              <w:t xml:space="preserve">Unchanged — now the gold standard</w:t>
            </w:r>
          </w:p>
        </w:tc>
      </w:tr>
    </w:tbl>
    <w:p>
      <w:pPr>
        <w:spacing w:before="0" w:after="0"/>
      </w:pPr>
      <w:r>
        <w:rPr>
          <w:rFonts w:ascii="Arial" w:cs="Arial" w:eastAsia="Arial" w:hAnsi="Arial"/>
          <w:b w:val="false"/>
          <w:bCs w:val="false"/>
          <w:i w:val="false"/>
          <w:iCs w:val="false"/>
          <w:color w:val="4A5568"/>
          <w:sz w:val="22"/>
          <w:szCs w:val="22"/>
        </w:rPr>
        <w:t xml:space="preserve"/>
      </w:r>
    </w:p>
    <w:p>
      <w:pPr>
        <w:pStyle w:val="ListParagraph"/>
        <w:numPr>
          <w:ilvl w:val="0"/>
          <w:numId w:val="2"/>
        </w:numPr>
        <w:spacing w:before="60" w:after="60" w:line="280"/>
      </w:pPr>
      <w:r>
        <w:rPr>
          <w:rFonts w:ascii="Arial" w:cs="Arial" w:eastAsia="Arial" w:hAnsi="Arial"/>
          <w:b w:val="false"/>
          <w:bCs w:val="false"/>
          <w:i w:val="false"/>
          <w:iCs w:val="false"/>
          <w:color w:val="4A5568"/>
          <w:sz w:val="22"/>
          <w:szCs w:val="22"/>
        </w:rPr>
        <w:t xml:space="preserve">VCT income tax relief reduced from 30% to 20% from 6 April 2026. EIS retains 30%; SEIS retains 50%. For investors who have used VCTs as their primary tax-advantaged vehicle, the case for reviewing EIS has changed substantially.</w:t>
      </w:r>
    </w:p>
    <w:p>
      <w:pPr>
        <w:pStyle w:val="ListParagraph"/>
        <w:numPr>
          <w:ilvl w:val="0"/>
          <w:numId w:val="2"/>
        </w:numPr>
        <w:spacing w:before="60" w:after="60" w:line="280"/>
      </w:pPr>
      <w:r>
        <w:rPr>
          <w:rFonts w:ascii="Arial" w:cs="Arial" w:eastAsia="Arial" w:hAnsi="Arial"/>
          <w:b w:val="false"/>
          <w:bCs w:val="false"/>
          <w:i w:val="false"/>
          <w:iCs w:val="false"/>
          <w:color w:val="4A5568"/>
          <w:sz w:val="22"/>
          <w:szCs w:val="22"/>
        </w:rPr>
        <w:t xml:space="preserve">Unused pension pots and death benefits brought into scope for IHT from 6 April 2027. EIS shares qualify for BPR after two years and are not subject to the new IHT treatment.</w:t>
      </w:r>
    </w:p>
    <w:p>
      <w:pPr>
        <w:pStyle w:val="ListParagraph"/>
        <w:numPr>
          <w:ilvl w:val="0"/>
          <w:numId w:val="2"/>
        </w:numPr>
        <w:spacing w:before="60" w:after="60" w:line="280"/>
      </w:pPr>
      <w:r>
        <w:rPr>
          <w:rFonts w:ascii="Arial" w:cs="Arial" w:eastAsia="Arial" w:hAnsi="Arial"/>
          <w:b w:val="false"/>
          <w:bCs w:val="false"/>
          <w:i w:val="false"/>
          <w:iCs w:val="false"/>
          <w:color w:val="4A5568"/>
          <w:sz w:val="22"/>
          <w:szCs w:val="22"/>
        </w:rPr>
        <w:t xml:space="preserve">EIS company investment limits expanded from April 2026 — companies can raise up to £10M annually, lifetime limits doubling to £24M. A wider universe of established early-stage companies can now attract EIS investment.</w:t>
      </w:r>
    </w:p>
    <w:p>
      <w:pPr>
        <w:spacing w:before="0" w:after="0"/>
      </w:pPr>
      <w:r>
        <w:rPr>
          <w:rFonts w:ascii="Arial" w:cs="Arial" w:eastAsia="Arial" w:hAnsi="Arial"/>
          <w:b w:val="false"/>
          <w:bCs w:val="false"/>
          <w:i w:val="false"/>
          <w:iCs w:val="false"/>
          <w:color w:val="4A5568"/>
          <w:sz w:val="22"/>
          <w:szCs w:val="22"/>
        </w:rPr>
        <w:t xml:space="preserve"/>
      </w:r>
    </w:p>
    <w:p>
      <w:pPr>
        <w:spacing w:before="280" w:after="120"/>
      </w:pPr>
      <w:r>
        <w:rPr>
          <w:rFonts w:ascii="Arial" w:cs="Arial" w:eastAsia="Arial" w:hAnsi="Arial"/>
          <w:b/>
          <w:bCs/>
          <w:i w:val="false"/>
          <w:iCs w:val="false"/>
          <w:color w:val="0D1B2A"/>
          <w:sz w:val="28"/>
          <w:szCs w:val="28"/>
        </w:rPr>
        <w:t xml:space="preserve">Is EIS Relevant to You?</w:t>
      </w:r>
    </w:p>
    <w:p>
      <w:pPr>
        <w:spacing w:before="60" w:after="100" w:line="300"/>
        <w:jc w:val="left"/>
      </w:pPr>
      <w:r>
        <w:rPr>
          <w:rFonts w:ascii="Arial" w:cs="Arial" w:eastAsia="Arial" w:hAnsi="Arial"/>
          <w:b w:val="false"/>
          <w:bCs w:val="false"/>
          <w:i w:val="false"/>
          <w:iCs w:val="false"/>
          <w:color w:val="4A5568"/>
          <w:sz w:val="22"/>
          <w:szCs w:val="22"/>
        </w:rPr>
        <w:t xml:space="preserve">EIS tends to be most relevant to investors who have at least one of: a meaningful income tax liability they would like to reduce immediately; capital gains from a property sale, business disposal, or portfolio rebalancing; an estate with IHT exposure that conventional tools have not fully addressed; or a portfolio that could benefit from diversification into early-stage UK companies.</w:t>
      </w:r>
    </w:p>
    <w:p>
      <w:pPr>
        <w:spacing w:before="60" w:after="100" w:line="300"/>
        <w:jc w:val="left"/>
      </w:pPr>
      <w:r>
        <w:rPr>
          <w:rFonts w:ascii="Arial" w:cs="Arial" w:eastAsia="Arial" w:hAnsi="Arial"/>
          <w:b w:val="false"/>
          <w:bCs w:val="false"/>
          <w:i w:val="false"/>
          <w:iCs w:val="false"/>
          <w:color w:val="4A5568"/>
          <w:sz w:val="22"/>
          <w:szCs w:val="22"/>
        </w:rPr>
        <w:t xml:space="preserve">It is less likely to be suitable for investors who need liquidity in the near term, who are uncomfortable with early-stage company risk, or who have no active UK income tax liability.</w:t>
      </w:r>
    </w:p>
    <w:p>
      <w:pPr>
        <w:spacing w:before="0" w:after="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499" w:sz="6"/>
              <w:left w:val="none" w:color="FFFFFF" w:sz="0"/>
              <w:bottom w:val="single" w:color="00A499" w:sz="6"/>
              <w:right w:val="none" w:color="FFFFFF" w:sz="0"/>
            </w:tcBorders>
            <w:shd w:fill="0D1B2A" w:val="clear"/>
            <w:tcMar>
              <w:top w:type="dxa" w:w="200"/>
              <w:left w:type="dxa" w:w="280"/>
              <w:bottom w:type="dxa" w:w="200"/>
              <w:right w:type="dxa" w:w="280"/>
            </w:tcMar>
          </w:tcPr>
          <w:p>
            <w:pPr>
              <w:spacing w:before="0" w:after="60"/>
            </w:pPr>
            <w:r>
              <w:rPr>
                <w:rFonts w:ascii="Arial" w:cs="Arial" w:eastAsia="Arial" w:hAnsi="Arial"/>
                <w:b/>
                <w:bCs/>
                <w:i w:val="false"/>
                <w:iCs w:val="false"/>
                <w:color w:val="FFFFFF"/>
                <w:sz w:val="24"/>
                <w:szCs w:val="24"/>
              </w:rPr>
              <w:t xml:space="preserve">James’s numbers are illustrative. Yours are specific.</w:t>
            </w:r>
          </w:p>
          <w:p>
            <w:pPr>
              <w:spacing w:before="0" w:after="60"/>
            </w:pPr>
            <w:r>
              <w:rPr>
                <w:rFonts w:ascii="Arial" w:cs="Arial" w:eastAsia="Arial" w:hAnsi="Arial"/>
                <w:b w:val="false"/>
                <w:bCs w:val="false"/>
                <w:i w:val="false"/>
                <w:iCs w:val="false"/>
                <w:color w:val="9CA3AF"/>
                <w:sz w:val="20"/>
                <w:szCs w:val="20"/>
              </w:rPr>
              <w:t xml:space="preserve">Unlock’s tax planning tool models your income, your investment level, and your CGT position — including annual relief, multi-year projections, carry-back analysis, and IHT timeline. In under five minutes you can see what the structure looks like for your actual situation, not a worked example.</w:t>
            </w:r>
          </w:p>
          <w:p>
            <w:pPr>
              <w:spacing w:before="0" w:after="0"/>
            </w:pPr>
            <w:r>
              <w:rPr>
                <w:rFonts w:ascii="Arial" w:cs="Arial" w:eastAsia="Arial" w:hAnsi="Arial"/>
                <w:b/>
                <w:bCs/>
                <w:i w:val="false"/>
                <w:iCs w:val="false"/>
                <w:color w:val="00A499"/>
                <w:sz w:val="20"/>
                <w:szCs w:val="20"/>
              </w:rPr>
              <w:t xml:space="preserve">eis-calculator-port-tom-copy.replit.app</w:t>
            </w:r>
          </w:p>
        </w:tc>
      </w:tr>
    </w:tbl>
    <w:p>
      <w:pPr>
        <w:spacing w:before="0" w:after="0"/>
      </w:pPr>
      <w:r>
        <w:rPr>
          <w:rFonts w:ascii="Arial" w:cs="Arial" w:eastAsia="Arial" w:hAnsi="Arial"/>
          <w:b w:val="false"/>
          <w:bCs w:val="false"/>
          <w:i w:val="false"/>
          <w:iCs w:val="false"/>
          <w:color w:val="4A5568"/>
          <w:sz w:val="22"/>
          <w:szCs w:val="22"/>
        </w:rPr>
        <w:t xml:space="preserve"/>
      </w:r>
    </w:p>
    <w:p>
      <w:pPr>
        <w:spacing w:before="0" w:after="0"/>
      </w:pPr>
      <w:r>
        <w:rPr>
          <w:rFonts w:ascii="Arial" w:cs="Arial" w:eastAsia="Arial" w:hAnsi="Arial"/>
          <w:b w:val="false"/>
          <w:bCs w:val="false"/>
          <w:i w:val="false"/>
          <w:iCs w:val="false"/>
          <w:color w:val="4A5568"/>
          <w:sz w:val="22"/>
          <w:szCs w:val="22"/>
        </w:rPr>
        <w:t xml:space="preserve"/>
      </w:r>
    </w:p>
    <w:p>
      <w:r>
        <w:br w:type="page"/>
      </w:r>
    </w:p>
    <w:p>
      <w:pPr>
        <w:pBdr>
          <w:bottom w:val="single" w:color="00A499" w:sz="8" w:space="6"/>
        </w:pBdr>
        <w:spacing w:before="360" w:after="180"/>
      </w:pPr>
      <w:r>
        <w:rPr>
          <w:rFonts w:ascii="Arial" w:cs="Arial" w:eastAsia="Arial" w:hAnsi="Arial"/>
          <w:b/>
          <w:bCs/>
          <w:i w:val="false"/>
          <w:iCs w:val="false"/>
          <w:color w:val="0D1B2A"/>
          <w:sz w:val="36"/>
          <w:szCs w:val="36"/>
        </w:rPr>
        <w:t xml:space="preserve">Annexe: Investor Classification Definitions</w:t>
      </w:r>
    </w:p>
    <w:p>
      <w:pPr>
        <w:spacing w:before="60" w:after="100" w:line="300"/>
        <w:jc w:val="left"/>
      </w:pPr>
      <w:r>
        <w:rPr>
          <w:rFonts w:ascii="Arial" w:cs="Arial" w:eastAsia="Arial" w:hAnsi="Arial"/>
          <w:b w:val="false"/>
          <w:bCs w:val="false"/>
          <w:i w:val="false"/>
          <w:iCs w:val="false"/>
          <w:color w:val="4A5568"/>
          <w:sz w:val="22"/>
          <w:szCs w:val="22"/>
        </w:rPr>
        <w:t xml:space="preserve">The following definitions are taken from the Financial Services and Markets Act 2000 (Financial Promotion) Order 2005 (the FPO) and apply to communications of the type contained in this document.</w:t>
      </w:r>
    </w:p>
    <w:p>
      <w:pPr>
        <w:spacing w:before="0" w:after="0"/>
      </w:pPr>
      <w:r>
        <w:rPr>
          <w:rFonts w:ascii="Arial" w:cs="Arial" w:eastAsia="Arial" w:hAnsi="Arial"/>
          <w:b w:val="false"/>
          <w:bCs w:val="false"/>
          <w:i w:val="false"/>
          <w:iCs w:val="false"/>
          <w:color w:val="4A5568"/>
          <w:sz w:val="22"/>
          <w:szCs w:val="22"/>
        </w:rPr>
        <w:t xml:space="preserve"/>
      </w:r>
    </w:p>
    <w:p>
      <w:pPr>
        <w:spacing w:before="280" w:after="120"/>
      </w:pPr>
      <w:r>
        <w:rPr>
          <w:rFonts w:ascii="Arial" w:cs="Arial" w:eastAsia="Arial" w:hAnsi="Arial"/>
          <w:b/>
          <w:bCs/>
          <w:i w:val="false"/>
          <w:iCs w:val="false"/>
          <w:color w:val="0D1B2A"/>
          <w:sz w:val="28"/>
          <w:szCs w:val="28"/>
        </w:rPr>
        <w:t xml:space="preserve">High Net Worth Individual</w:t>
      </w:r>
    </w:p>
    <w:p>
      <w:pPr>
        <w:spacing w:before="60" w:after="100" w:line="300"/>
        <w:jc w:val="left"/>
      </w:pPr>
      <w:r>
        <w:rPr>
          <w:rFonts w:ascii="Arial" w:cs="Arial" w:eastAsia="Arial" w:hAnsi="Arial"/>
          <w:b w:val="false"/>
          <w:bCs w:val="false"/>
          <w:i w:val="false"/>
          <w:iCs w:val="false"/>
          <w:color w:val="4A5568"/>
          <w:sz w:val="22"/>
          <w:szCs w:val="22"/>
        </w:rPr>
        <w:t xml:space="preserve">An individual is classified as a High Net Worth Individual for the purposes of the FPO if, in the financial year immediately preceding the date of the communication, they had:</w:t>
      </w:r>
    </w:p>
    <w:p>
      <w:pPr>
        <w:pStyle w:val="ListParagraph"/>
        <w:numPr>
          <w:ilvl w:val="0"/>
          <w:numId w:val="2"/>
        </w:numPr>
        <w:spacing w:before="60" w:after="60" w:line="280"/>
      </w:pPr>
      <w:r>
        <w:rPr>
          <w:rFonts w:ascii="Arial" w:cs="Arial" w:eastAsia="Arial" w:hAnsi="Arial"/>
          <w:b w:val="false"/>
          <w:bCs w:val="false"/>
          <w:i w:val="false"/>
          <w:iCs w:val="false"/>
          <w:color w:val="4A5568"/>
          <w:sz w:val="22"/>
          <w:szCs w:val="22"/>
        </w:rPr>
        <w:t xml:space="preserve">Annual income of £170,000 or more; or</w:t>
      </w:r>
    </w:p>
    <w:p>
      <w:pPr>
        <w:pStyle w:val="ListParagraph"/>
        <w:numPr>
          <w:ilvl w:val="0"/>
          <w:numId w:val="2"/>
        </w:numPr>
        <w:spacing w:before="60" w:after="60" w:line="280"/>
      </w:pPr>
      <w:r>
        <w:rPr>
          <w:rFonts w:ascii="Arial" w:cs="Arial" w:eastAsia="Arial" w:hAnsi="Arial"/>
          <w:b w:val="false"/>
          <w:bCs w:val="false"/>
          <w:i w:val="false"/>
          <w:iCs w:val="false"/>
          <w:color w:val="4A5568"/>
          <w:sz w:val="22"/>
          <w:szCs w:val="22"/>
        </w:rPr>
        <w:t xml:space="preserve">Net assets of £430,000 or more (excluding primary residence, rights under a qualifying contract of insurance, and pension entitlements).</w:t>
      </w:r>
    </w:p>
    <w:p>
      <w:pPr>
        <w:spacing w:before="60" w:after="100" w:line="300"/>
        <w:jc w:val="left"/>
      </w:pPr>
      <w:r>
        <w:rPr>
          <w:rFonts w:ascii="Arial" w:cs="Arial" w:eastAsia="Arial" w:hAnsi="Arial"/>
          <w:b w:val="false"/>
          <w:bCs w:val="false"/>
          <w:i w:val="false"/>
          <w:iCs w:val="false"/>
          <w:color w:val="4A5568"/>
          <w:sz w:val="22"/>
          <w:szCs w:val="22"/>
        </w:rPr>
        <w:t xml:space="preserve">An individual relying on this classification must sign a statement confirming that they meet one of the above conditions and that they understand the nature and risk of the investments to which the communication relates.</w:t>
      </w:r>
    </w:p>
    <w:p>
      <w:pPr>
        <w:spacing w:before="0" w:after="0"/>
      </w:pPr>
      <w:r>
        <w:rPr>
          <w:rFonts w:ascii="Arial" w:cs="Arial" w:eastAsia="Arial" w:hAnsi="Arial"/>
          <w:b w:val="false"/>
          <w:bCs w:val="false"/>
          <w:i w:val="false"/>
          <w:iCs w:val="false"/>
          <w:color w:val="4A5568"/>
          <w:sz w:val="22"/>
          <w:szCs w:val="22"/>
        </w:rPr>
        <w:t xml:space="preserve"/>
      </w:r>
    </w:p>
    <w:p>
      <w:pPr>
        <w:spacing w:before="280" w:after="120"/>
      </w:pPr>
      <w:r>
        <w:rPr>
          <w:rFonts w:ascii="Arial" w:cs="Arial" w:eastAsia="Arial" w:hAnsi="Arial"/>
          <w:b/>
          <w:bCs/>
          <w:i w:val="false"/>
          <w:iCs w:val="false"/>
          <w:color w:val="0D1B2A"/>
          <w:sz w:val="28"/>
          <w:szCs w:val="28"/>
        </w:rPr>
        <w:t xml:space="preserve">Self-Certified Sophisticated Investor</w:t>
      </w:r>
    </w:p>
    <w:p>
      <w:pPr>
        <w:spacing w:before="60" w:after="100" w:line="300"/>
        <w:jc w:val="left"/>
      </w:pPr>
      <w:r>
        <w:rPr>
          <w:rFonts w:ascii="Arial" w:cs="Arial" w:eastAsia="Arial" w:hAnsi="Arial"/>
          <w:b w:val="false"/>
          <w:bCs w:val="false"/>
          <w:i w:val="false"/>
          <w:iCs w:val="false"/>
          <w:color w:val="4A5568"/>
          <w:sz w:val="22"/>
          <w:szCs w:val="22"/>
        </w:rPr>
        <w:t xml:space="preserve">An individual is classified as a Self-Certified Sophisticated Investor for the purposes of the FPO if they meet at least one of the following criteria:</w:t>
      </w:r>
    </w:p>
    <w:p>
      <w:pPr>
        <w:pStyle w:val="ListParagraph"/>
        <w:numPr>
          <w:ilvl w:val="0"/>
          <w:numId w:val="2"/>
        </w:numPr>
        <w:spacing w:before="60" w:after="60" w:line="280"/>
      </w:pPr>
      <w:r>
        <w:rPr>
          <w:rFonts w:ascii="Arial" w:cs="Arial" w:eastAsia="Arial" w:hAnsi="Arial"/>
          <w:b w:val="false"/>
          <w:bCs w:val="false"/>
          <w:i w:val="false"/>
          <w:iCs w:val="false"/>
          <w:color w:val="4A5568"/>
          <w:sz w:val="22"/>
          <w:szCs w:val="22"/>
        </w:rPr>
        <w:t xml:space="preserve">They are a member of a network or syndicate of business angels and have been so for at least six months prior to the date of the communication.</w:t>
      </w:r>
    </w:p>
    <w:p>
      <w:pPr>
        <w:pStyle w:val="ListParagraph"/>
        <w:numPr>
          <w:ilvl w:val="0"/>
          <w:numId w:val="2"/>
        </w:numPr>
        <w:spacing w:before="60" w:after="60" w:line="280"/>
      </w:pPr>
      <w:r>
        <w:rPr>
          <w:rFonts w:ascii="Arial" w:cs="Arial" w:eastAsia="Arial" w:hAnsi="Arial"/>
          <w:b w:val="false"/>
          <w:bCs w:val="false"/>
          <w:i w:val="false"/>
          <w:iCs w:val="false"/>
          <w:color w:val="4A5568"/>
          <w:sz w:val="22"/>
          <w:szCs w:val="22"/>
        </w:rPr>
        <w:t xml:space="preserve">They have made more than one investment in an unlisted company in the two years prior to the date of the communication.</w:t>
      </w:r>
    </w:p>
    <w:p>
      <w:pPr>
        <w:pStyle w:val="ListParagraph"/>
        <w:numPr>
          <w:ilvl w:val="0"/>
          <w:numId w:val="2"/>
        </w:numPr>
        <w:spacing w:before="60" w:after="60" w:line="280"/>
      </w:pPr>
      <w:r>
        <w:rPr>
          <w:rFonts w:ascii="Arial" w:cs="Arial" w:eastAsia="Arial" w:hAnsi="Arial"/>
          <w:b w:val="false"/>
          <w:bCs w:val="false"/>
          <w:i w:val="false"/>
          <w:iCs w:val="false"/>
          <w:color w:val="4A5568"/>
          <w:sz w:val="22"/>
          <w:szCs w:val="22"/>
        </w:rPr>
        <w:t xml:space="preserve">They are working, or have worked in the two years prior to the date of the communication, in a professional capacity in the private equity sector, or in the provision of finance for small and medium enterprises.</w:t>
      </w:r>
    </w:p>
    <w:p>
      <w:pPr>
        <w:pStyle w:val="ListParagraph"/>
        <w:numPr>
          <w:ilvl w:val="0"/>
          <w:numId w:val="2"/>
        </w:numPr>
        <w:spacing w:before="60" w:after="60" w:line="280"/>
      </w:pPr>
      <w:r>
        <w:rPr>
          <w:rFonts w:ascii="Arial" w:cs="Arial" w:eastAsia="Arial" w:hAnsi="Arial"/>
          <w:b w:val="false"/>
          <w:bCs w:val="false"/>
          <w:i w:val="false"/>
          <w:iCs w:val="false"/>
          <w:color w:val="4A5568"/>
          <w:sz w:val="22"/>
          <w:szCs w:val="22"/>
        </w:rPr>
        <w:t xml:space="preserve">They are currently, or have been in the two years prior to the date of the communication, a director of a company with an annual turnover of at least £1 million.</w:t>
      </w:r>
    </w:p>
    <w:p>
      <w:pPr>
        <w:spacing w:before="60" w:after="100" w:line="300"/>
        <w:jc w:val="left"/>
      </w:pPr>
      <w:r>
        <w:rPr>
          <w:rFonts w:ascii="Arial" w:cs="Arial" w:eastAsia="Arial" w:hAnsi="Arial"/>
          <w:b w:val="false"/>
          <w:bCs w:val="false"/>
          <w:i w:val="false"/>
          <w:iCs w:val="false"/>
          <w:color w:val="4A5568"/>
          <w:sz w:val="22"/>
          <w:szCs w:val="22"/>
        </w:rPr>
        <w:t xml:space="preserve">An individual relying on this classification must sign a statement confirming that they meet one of the above criteria and that they understand the risk of so investing and the fact that there may be restrictions on their ability to access funds invested.</w:t>
      </w:r>
    </w:p>
    <w:p>
      <w:pPr>
        <w:spacing w:before="0" w:after="0"/>
      </w:pPr>
      <w:r>
        <w:rPr>
          <w:rFonts w:ascii="Arial" w:cs="Arial" w:eastAsia="Arial" w:hAnsi="Arial"/>
          <w:b w:val="false"/>
          <w:bCs w:val="false"/>
          <w:i w:val="false"/>
          <w:iCs w:val="false"/>
          <w:color w:val="4A5568"/>
          <w:sz w:val="22"/>
          <w:szCs w:val="22"/>
        </w:rPr>
        <w:t xml:space="preserve"/>
      </w:r>
    </w:p>
    <w:p>
      <w:pPr>
        <w:spacing w:before="40" w:after="60" w:line="288"/>
        <w:jc w:val="left"/>
      </w:pPr>
      <w:r>
        <w:rPr>
          <w:rFonts w:ascii="Arial" w:cs="Arial" w:eastAsia="Arial" w:hAnsi="Arial"/>
          <w:b w:val="false"/>
          <w:bCs w:val="false"/>
          <w:i/>
          <w:iCs/>
          <w:color w:val="6B7280"/>
          <w:sz w:val="18"/>
          <w:szCs w:val="18"/>
        </w:rPr>
        <w:t xml:space="preserve">The above definitions are provided for information purposes only. Investors who are uncertain whether they qualify under either definition should seek independent legal advice before proceeding. Unlock Services Limited does not provide legal advice and is not responsible for an individual’s determination of their own investor classification. © 2026 Unlock Services Limited.</w:t>
      </w:r>
    </w:p>
    <w:p>
      <w:pPr>
        <w:spacing w:before="0" w:after="0"/>
      </w:pPr>
      <w:r>
        <w:rPr>
          <w:rFonts w:ascii="Arial" w:cs="Arial" w:eastAsia="Arial" w:hAnsi="Arial"/>
          <w:b w:val="false"/>
          <w:bCs w:val="false"/>
          <w:i w:val="false"/>
          <w:iCs w:val="false"/>
          <w:color w:val="4A5568"/>
          <w:sz w:val="22"/>
          <w:szCs w:val="22"/>
        </w:rPr>
        <w:t xml:space="preserve"/>
      </w:r>
    </w:p>
    <w:p>
      <w:pPr>
        <w:spacing w:before="40" w:after="60" w:line="288"/>
        <w:jc w:val="left"/>
      </w:pPr>
      <w:r>
        <w:rPr>
          <w:rFonts w:ascii="Arial" w:cs="Arial" w:eastAsia="Arial" w:hAnsi="Arial"/>
          <w:b w:val="false"/>
          <w:bCs w:val="false"/>
          <w:i/>
          <w:iCs/>
          <w:color w:val="6B7280"/>
          <w:sz w:val="18"/>
          <w:szCs w:val="18"/>
        </w:rPr>
        <w:t xml:space="preserve">This document is for educational purposes only and does not constitute financial advice or a personal recommendation. Capital is at risk. Tax reliefs depend on individual circumstances and may change. EIS/SEIS eligibility subject to HMRC qualifying conditions. IHT BPR from April 2026 subject to the new £2.5M combined APR/BPR allowance. Pension IHT changes subject to final legislation.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2026-02-25T13:16:32.009Z</dcterms:created>
  <dcterms:modified xsi:type="dcterms:W3CDTF">2026-02-25T13:16:32.009Z</dcterms:modified>
</cp:coreProperties>
</file>

<file path=docProps/custom.xml><?xml version="1.0" encoding="utf-8"?>
<Properties xmlns="http://schemas.openxmlformats.org/officeDocument/2006/custom-properties" xmlns:vt="http://schemas.openxmlformats.org/officeDocument/2006/docPropsVTypes"/>
</file>