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29BB" w14:textId="77777777" w:rsidR="006248E6" w:rsidRDefault="00000000" w:rsidP="00757407">
      <w:pPr>
        <w:spacing w:before="240"/>
        <w:ind w:left="360"/>
        <w:jc w:val="center"/>
      </w:pPr>
      <w:r w:rsidRPr="00757407">
        <w:rPr>
          <w:b/>
          <w:color w:val="1F4E79"/>
          <w:sz w:val="44"/>
        </w:rPr>
        <w:t>Taco Cloud: Documentación Integral de los 36 Retos Funcionales</w:t>
      </w:r>
    </w:p>
    <w:p w14:paraId="7D1AD2B5" w14:textId="77777777" w:rsidR="006248E6" w:rsidRDefault="00000000" w:rsidP="00757407">
      <w:pPr>
        <w:spacing w:before="60" w:after="60"/>
        <w:ind w:left="360"/>
      </w:pPr>
      <w:r w:rsidRPr="00757407">
        <w:rPr>
          <w:b/>
        </w:rPr>
        <w:t>Laboratorio de Ingeniería de Software — Microservicios Taco Cloud</w:t>
      </w:r>
    </w:p>
    <w:p w14:paraId="0912598D" w14:textId="77777777" w:rsidR="006248E6" w:rsidRDefault="00000000" w:rsidP="00757407">
      <w:pPr>
        <w:spacing w:before="60" w:after="60"/>
        <w:ind w:left="360"/>
      </w:pPr>
      <w:r w:rsidRPr="00757407">
        <w:rPr>
          <w:b/>
        </w:rPr>
        <w:t>Base Tecnológica:</w:t>
      </w:r>
      <w:r>
        <w:t xml:space="preserve"> Spring Boot 2.5.3 · Project Reactor 3.4.8 · MongoDB Reactivo · Angular · Maven Multi-Módulo</w:t>
      </w:r>
    </w:p>
    <w:p w14:paraId="20022A00" w14:textId="77777777" w:rsidR="006248E6" w:rsidRDefault="00000000" w:rsidP="00757407">
      <w:pPr>
        <w:spacing w:before="60" w:after="60"/>
        <w:ind w:left="360"/>
      </w:pPr>
      <w:r w:rsidRPr="00757407">
        <w:rPr>
          <w:b/>
        </w:rPr>
        <w:t>Total de Retos:</w:t>
      </w:r>
      <w:r>
        <w:t xml:space="preserve"> 36 Retos (TC-01 a TC-36) distribuidos en 6 Laboratorios</w:t>
      </w:r>
    </w:p>
    <w:p w14:paraId="0E12092F" w14:textId="77777777" w:rsidR="006248E6" w:rsidRDefault="00000000" w:rsidP="00757407">
      <w:pPr>
        <w:spacing w:before="60" w:after="60"/>
        <w:ind w:left="360"/>
      </w:pPr>
      <w:r w:rsidRPr="00757407">
        <w:rPr>
          <w:b/>
        </w:rPr>
        <w:t>Puntos Totales:</w:t>
      </w:r>
      <w:r>
        <w:t xml:space="preserve"> 349 / 349 Puntos (100% Cumplido)</w:t>
      </w:r>
    </w:p>
    <w:p w14:paraId="64F718FA" w14:textId="77777777" w:rsidR="006248E6" w:rsidRDefault="00000000" w:rsidP="00757407">
      <w:pPr>
        <w:spacing w:before="60" w:after="60"/>
        <w:ind w:left="360"/>
      </w:pPr>
      <w:r w:rsidRPr="00757407">
        <w:rPr>
          <w:b/>
        </w:rPr>
        <w:t>Estado:</w:t>
      </w:r>
      <w:r>
        <w:t xml:space="preserve"> Totalmente implementado, verificado con pruebas de regresión automáticas y registrado en Git.</w:t>
      </w:r>
    </w:p>
    <w:p w14:paraId="768624E7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1342BC50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Índice General</w:t>
      </w:r>
    </w:p>
    <w:p w14:paraId="023F0F6D" w14:textId="1CE0C486" w:rsidR="006248E6" w:rsidRDefault="00000000" w:rsidP="00757407">
      <w:pPr>
        <w:spacing w:before="60" w:after="60"/>
        <w:ind w:left="360"/>
      </w:pPr>
      <w:r>
        <w:t>[Laboratorio 1 — Cazar Operaciones Fantasma (TC-01 a TC-06)](#laboratorio-1--cazar-operaciones-fantasma)</w:t>
      </w:r>
    </w:p>
    <w:p w14:paraId="483F6B37" w14:textId="03664FE6" w:rsidR="006248E6" w:rsidRDefault="00000000" w:rsidP="00757407">
      <w:pPr>
        <w:spacing w:before="60" w:after="60"/>
        <w:ind w:left="360"/>
      </w:pPr>
      <w:r>
        <w:t>[Laboratorio 2 — Contratos y Seguridad (TC-07 a TC-12)](#laboratorio-2--contratos-y-seguridad)</w:t>
      </w:r>
    </w:p>
    <w:p w14:paraId="4400F3AD" w14:textId="7268D32C" w:rsidR="006248E6" w:rsidRDefault="00000000" w:rsidP="00757407">
      <w:pPr>
        <w:spacing w:before="60" w:after="60"/>
        <w:ind w:left="360"/>
      </w:pPr>
      <w:r>
        <w:t>[Laboratorio 3 — Motor de Negocio (TC-13 a TC-18)](#laboratorio-3--motor-de-negocio)</w:t>
      </w:r>
    </w:p>
    <w:p w14:paraId="73910465" w14:textId="62C1F9CD" w:rsidR="006248E6" w:rsidRDefault="00000000" w:rsidP="00757407">
      <w:pPr>
        <w:spacing w:before="60" w:after="60"/>
        <w:ind w:left="360"/>
      </w:pPr>
      <w:r>
        <w:t>[Laboratorio 4 — Funciones que Sí Dan Ganas de Usar (TC-19 a TC-24)](#laboratorio-4--funciones-que-sí-dan-ganas-de-usar)</w:t>
      </w:r>
    </w:p>
    <w:p w14:paraId="1D627AA6" w14:textId="334E786F" w:rsidR="006248E6" w:rsidRDefault="00000000" w:rsidP="00757407">
      <w:pPr>
        <w:spacing w:before="60" w:after="60"/>
        <w:ind w:left="360"/>
      </w:pPr>
      <w:r>
        <w:t>[Laboratorio 5 — Cocina y Mensajería Confiable (TC-25 a TC-30)](#laboratorio-5--cocina-y-mensajería-confiable)</w:t>
      </w:r>
    </w:p>
    <w:p w14:paraId="6607F19E" w14:textId="6D80D5E2" w:rsidR="006248E6" w:rsidRDefault="00000000" w:rsidP="00757407">
      <w:pPr>
        <w:spacing w:before="60" w:after="60"/>
        <w:ind w:left="360"/>
      </w:pPr>
      <w:r>
        <w:t>[Laboratorio 6 — Operación y Calidad (TC-31 a TC-36)](#laboratorio-6--operación-y-calidad)</w:t>
      </w:r>
    </w:p>
    <w:p w14:paraId="59CD26E5" w14:textId="419AF0EC" w:rsidR="006248E6" w:rsidRDefault="00000000" w:rsidP="00757407">
      <w:pPr>
        <w:spacing w:before="60" w:after="60"/>
        <w:ind w:left="360"/>
      </w:pPr>
      <w:r>
        <w:t>[Matriz de Cumplimiento de la Definition of Done](#matriz-de-cumplimiento-de-la-definition-of-done)</w:t>
      </w:r>
    </w:p>
    <w:p w14:paraId="2E59F9A2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4CCA788B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1 — Cazar Operaciones Fantasma</w:t>
      </w:r>
    </w:p>
    <w:p w14:paraId="0E7F4B49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Corregir operaciones reactivas que aparentan funcionar pero no producen el efecto esperado por descarte de publishers o mala sincronización.</w:t>
      </w:r>
    </w:p>
    <w:p w14:paraId="4477DA61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TC-01: Actualizar un ingrediente sin perder el publisher</w:t>
      </w:r>
    </w:p>
    <w:p w14:paraId="4501912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Inicial | </w:t>
      </w:r>
      <w:r>
        <w:rPr>
          <w:b/>
        </w:rPr>
        <w:t>Puntos:</w:t>
      </w:r>
      <w:r>
        <w:t xml:space="preserve"> 5 | </w:t>
      </w:r>
      <w:r>
        <w:rPr>
          <w:b/>
        </w:rPr>
        <w:t>Dependencias:</w:t>
      </w:r>
      <w:r>
        <w:t xml:space="preserve"> Ninguna</w:t>
      </w:r>
    </w:p>
    <w:p w14:paraId="682B78A9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tacocloud-api/.../IngredientController.java</w:t>
      </w:r>
      <w:r>
        <w:t xml:space="preserve">, </w:t>
      </w:r>
      <w:r>
        <w:rPr>
          <w:rFonts w:ascii="Consolas" w:hAnsi="Consolas"/>
          <w:color w:val="A31515"/>
        </w:rPr>
        <w:t>IngredientControllerTest.java</w:t>
      </w:r>
    </w:p>
    <w:p w14:paraId="66C0DB4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PUT /api/ingredients/{id}</w:t>
      </w:r>
      <w:r>
        <w:t xml:space="preserve"> $\rightarrow$ 200 OK, 400 Bad Request, 404 Not Found.</w:t>
      </w:r>
    </w:p>
    <w:p w14:paraId="0FA87A7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refactorizó el método </w:t>
      </w:r>
      <w:r>
        <w:rPr>
          <w:rFonts w:ascii="Consolas" w:hAnsi="Consolas"/>
          <w:color w:val="A31515"/>
        </w:rPr>
        <w:t>PUT</w:t>
      </w:r>
      <w:r>
        <w:t xml:space="preserve"> para retornar </w:t>
      </w:r>
      <w:r>
        <w:rPr>
          <w:rFonts w:ascii="Consolas" w:hAnsi="Consolas"/>
          <w:color w:val="A31515"/>
        </w:rPr>
        <w:t>Mono&lt;ResponseEntity&lt;Ingredient&gt;&gt;</w:t>
      </w:r>
      <w:r>
        <w:t xml:space="preserve"> en lugar de una llamada sin suscripción a </w:t>
      </w:r>
      <w:r>
        <w:rPr>
          <w:rFonts w:ascii="Consolas" w:hAnsi="Consolas"/>
          <w:color w:val="A31515"/>
        </w:rPr>
        <w:t>repo.save()</w:t>
      </w:r>
      <w:r>
        <w:t xml:space="preserve">. Se agregó validación de consistencia entre el </w:t>
      </w:r>
      <w:r>
        <w:rPr>
          <w:rFonts w:ascii="Consolas" w:hAnsi="Consolas"/>
          <w:color w:val="A31515"/>
        </w:rPr>
        <w:t>{id}</w:t>
      </w:r>
      <w:r>
        <w:t xml:space="preserve"> de la ruta y el </w:t>
      </w:r>
      <w:r>
        <w:rPr>
          <w:rFonts w:ascii="Consolas" w:hAnsi="Consolas"/>
          <w:color w:val="A31515"/>
        </w:rPr>
        <w:t>{id}</w:t>
      </w:r>
      <w:r>
        <w:t xml:space="preserve"> del cuerpo (retorna 400 si difieren). Se verifica la existencia previa con </w:t>
      </w:r>
      <w:r>
        <w:rPr>
          <w:rFonts w:ascii="Consolas" w:hAnsi="Consolas"/>
          <w:color w:val="A31515"/>
        </w:rPr>
        <w:t>findById</w:t>
      </w:r>
      <w:r>
        <w:t xml:space="preserve"> (retorna 404 si no existe antes de guardar), asegurando que el publisher viaje en la cadena reactiva devuelta al framework y evitando creaciones accidentales mediante PUT.</w:t>
      </w:r>
    </w:p>
    <w:p w14:paraId="4D6E50D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y reactivas con </w:t>
      </w:r>
      <w:r>
        <w:rPr>
          <w:rFonts w:ascii="Consolas" w:hAnsi="Consolas"/>
          <w:color w:val="A31515"/>
        </w:rPr>
        <w:t>StepVerifier</w:t>
      </w:r>
      <w:r>
        <w:t xml:space="preserve"> para casos 200, 400 y 404.</w:t>
      </w:r>
    </w:p>
    <w:p w14:paraId="1C201163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TC-02: Eliminar de verdad y responder con semántica HTTP</w:t>
      </w:r>
    </w:p>
    <w:p w14:paraId="1547CF2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Inicial | </w:t>
      </w:r>
      <w:r>
        <w:rPr>
          <w:b/>
        </w:rPr>
        <w:t>Puntos:</w:t>
      </w:r>
      <w:r>
        <w:t xml:space="preserve"> 5 | </w:t>
      </w:r>
      <w:r>
        <w:rPr>
          <w:b/>
        </w:rPr>
        <w:t>Dependencias:</w:t>
      </w:r>
      <w:r>
        <w:t xml:space="preserve"> Ninguna</w:t>
      </w:r>
    </w:p>
    <w:p w14:paraId="7EE3740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tacocloud-api/.../IngredientController.java</w:t>
      </w:r>
      <w:r>
        <w:t xml:space="preserve">, </w:t>
      </w:r>
      <w:r>
        <w:rPr>
          <w:rFonts w:ascii="Consolas" w:hAnsi="Consolas"/>
          <w:color w:val="A31515"/>
        </w:rPr>
        <w:t>IngredientControllerTest.java</w:t>
      </w:r>
    </w:p>
    <w:p w14:paraId="76E7B88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DELETE /api/ingredients/{id}</w:t>
      </w:r>
      <w:r>
        <w:t xml:space="preserve"> $\rightarrow$ 204 No Content, 404 Not Found.</w:t>
      </w:r>
    </w:p>
    <w:p w14:paraId="329E76C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reemplazó el método </w:t>
      </w:r>
      <w:r>
        <w:rPr>
          <w:rFonts w:ascii="Consolas" w:hAnsi="Consolas"/>
          <w:color w:val="A31515"/>
        </w:rPr>
        <w:t>void</w:t>
      </w:r>
      <w:r>
        <w:t xml:space="preserve"> por una tubería reactiva devuelta: </w:t>
      </w:r>
      <w:r>
        <w:rPr>
          <w:rFonts w:ascii="Consolas" w:hAnsi="Consolas"/>
          <w:color w:val="A31515"/>
        </w:rPr>
        <w:t>Mono&lt;ResponseEntity&lt;Void&gt;&gt;</w:t>
      </w:r>
      <w:r>
        <w:t xml:space="preserve">. Se encadenó la verificación previa </w:t>
      </w:r>
      <w:r>
        <w:rPr>
          <w:rFonts w:ascii="Consolas" w:hAnsi="Consolas"/>
          <w:color w:val="A31515"/>
        </w:rPr>
        <w:t>findById(id)</w:t>
      </w:r>
      <w:r>
        <w:t xml:space="preserve"> con </w:t>
      </w:r>
      <w:r>
        <w:rPr>
          <w:rFonts w:ascii="Consolas" w:hAnsi="Consolas"/>
          <w:color w:val="A31515"/>
        </w:rPr>
        <w:t>flatMap(existing -&gt; repo.delete(existing).thenReturn(new ResponseEntity&lt;Void&gt;(HttpStatus.NO_CONTENT)))</w:t>
      </w:r>
      <w:r>
        <w:t xml:space="preserve"> y </w:t>
      </w:r>
      <w:r>
        <w:rPr>
          <w:rFonts w:ascii="Consolas" w:hAnsi="Consolas"/>
          <w:color w:val="A31515"/>
        </w:rPr>
        <w:t>defaultIfEmpty(new ResponseEntity&lt;&gt;(HttpStatus.NOT_FOUND))</w:t>
      </w:r>
      <w:r>
        <w:t xml:space="preserve">. No devuelve cuerpo en la respuesta 204 y no utiliza </w:t>
      </w:r>
      <w:r>
        <w:rPr>
          <w:rFonts w:ascii="Consolas" w:hAnsi="Consolas"/>
          <w:color w:val="A31515"/>
        </w:rPr>
        <w:t>try/catch</w:t>
      </w:r>
      <w:r>
        <w:t xml:space="preserve"> síncronos alrededor del publisher.</w:t>
      </w:r>
    </w:p>
    <w:p w14:paraId="044037A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integración que comprueban que tras un 204 el recurso ya no existe en GET subsiguiente, y que una llamada sobre un ID ausente responde 404.</w:t>
      </w:r>
    </w:p>
    <w:p w14:paraId="2EA46082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TC-03: Construir Location sin localhost ni rutas rotas</w:t>
      </w:r>
    </w:p>
    <w:p w14:paraId="7317165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Inicial | </w:t>
      </w:r>
      <w:r>
        <w:rPr>
          <w:b/>
        </w:rPr>
        <w:t>Puntos:</w:t>
      </w:r>
      <w:r>
        <w:t xml:space="preserve"> 5 | </w:t>
      </w:r>
      <w:r>
        <w:rPr>
          <w:b/>
        </w:rPr>
        <w:t>Dependencias:</w:t>
      </w:r>
      <w:r>
        <w:t xml:space="preserve"> Ninguna</w:t>
      </w:r>
    </w:p>
    <w:p w14:paraId="57C113D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tacocloud-api/.../IngredientController.java</w:t>
      </w:r>
      <w:r>
        <w:t xml:space="preserve">, </w:t>
      </w:r>
      <w:r>
        <w:rPr>
          <w:rFonts w:ascii="Consolas" w:hAnsi="Consolas"/>
          <w:color w:val="A31515"/>
        </w:rPr>
        <w:t>IngredientControllerTest.java</w:t>
      </w:r>
    </w:p>
    <w:p w14:paraId="25242D0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/api/ingredients</w:t>
      </w:r>
      <w:r>
        <w:t xml:space="preserve"> $\rightarrow$ 201 Created, </w:t>
      </w:r>
      <w:r>
        <w:rPr>
          <w:rFonts w:ascii="Consolas" w:hAnsi="Consolas"/>
          <w:color w:val="A31515"/>
        </w:rPr>
        <w:t>Location: .../api/ingredients/{id}</w:t>
      </w:r>
      <w:r>
        <w:t>.</w:t>
      </w:r>
    </w:p>
    <w:p w14:paraId="77E119C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eliminó la URI hardcodeada </w:t>
      </w:r>
      <w:r>
        <w:rPr>
          <w:rFonts w:ascii="Consolas" w:hAnsi="Consolas"/>
          <w:color w:val="A31515"/>
        </w:rPr>
        <w:t>http://localhost:8080/ingredients/...</w:t>
      </w:r>
      <w:r>
        <w:t xml:space="preserve">. Se inyectó </w:t>
      </w:r>
      <w:r>
        <w:rPr>
          <w:rFonts w:ascii="Consolas" w:hAnsi="Consolas"/>
          <w:color w:val="A31515"/>
        </w:rPr>
        <w:t>UriComponentsBuilder</w:t>
      </w:r>
      <w:r>
        <w:t xml:space="preserve"> / </w:t>
      </w:r>
      <w:r>
        <w:rPr>
          <w:rFonts w:ascii="Consolas" w:hAnsi="Consolas"/>
          <w:color w:val="A31515"/>
        </w:rPr>
        <w:t>ServerHttpRequest</w:t>
      </w:r>
      <w:r>
        <w:t xml:space="preserve"> para derivar la URI canónica dinámicamente (</w:t>
      </w:r>
      <w:r>
        <w:rPr>
          <w:rFonts w:ascii="Consolas" w:hAnsi="Consolas"/>
          <w:color w:val="A31515"/>
        </w:rPr>
        <w:t>/api/ingredients/{id}</w:t>
      </w:r>
      <w:r>
        <w:t xml:space="preserve"> o </w:t>
      </w:r>
      <w:r>
        <w:rPr>
          <w:rFonts w:ascii="Consolas" w:hAnsi="Consolas"/>
          <w:color w:val="A31515"/>
        </w:rPr>
        <w:t>/api/v1/ingredients/{id}</w:t>
      </w:r>
      <w:r>
        <w:t>), respetando el esquema (HTTP/HTTPS), host, puerto y context path del reverse proxy o ingress.</w:t>
      </w:r>
    </w:p>
    <w:p w14:paraId="11A78B4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con </w:t>
      </w:r>
      <w:r>
        <w:rPr>
          <w:rFonts w:ascii="Consolas" w:hAnsi="Consolas"/>
          <w:color w:val="A31515"/>
        </w:rPr>
        <w:t>WebTestClient</w:t>
      </w:r>
      <w:r>
        <w:t xml:space="preserve"> en puerto aleatorio confirmando que la cabecera </w:t>
      </w:r>
      <w:r>
        <w:rPr>
          <w:rFonts w:ascii="Consolas" w:hAnsi="Consolas"/>
          <w:color w:val="A31515"/>
        </w:rPr>
        <w:t>Location</w:t>
      </w:r>
      <w:r>
        <w:t xml:space="preserve"> es resoluble mediante GET.</w:t>
      </w:r>
    </w:p>
    <w:p w14:paraId="63976A2D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lastRenderedPageBreak/>
        <w:t>TC-04: PATCH de órdenes con lista blanca y sin ZIP mutante</w:t>
      </w:r>
    </w:p>
    <w:p w14:paraId="42D1277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TC-08 recomendado</w:t>
      </w:r>
    </w:p>
    <w:p w14:paraId="6CE33E3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tacocloud-api/.../OrderApiController.java</w:t>
      </w:r>
      <w:r>
        <w:t xml:space="preserve">, </w:t>
      </w:r>
      <w:r>
        <w:rPr>
          <w:rFonts w:ascii="Consolas" w:hAnsi="Consolas"/>
          <w:color w:val="A31515"/>
        </w:rPr>
        <w:t>OrderPatchDto.java</w:t>
      </w:r>
    </w:p>
    <w:p w14:paraId="64D6C33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PATCH /api/orders/{orderId}</w:t>
      </w:r>
      <w:r>
        <w:t xml:space="preserve"> con </w:t>
      </w:r>
      <w:r>
        <w:rPr>
          <w:rFonts w:ascii="Consolas" w:hAnsi="Consolas"/>
          <w:color w:val="A31515"/>
        </w:rPr>
        <w:t>OrderPatchDto</w:t>
      </w:r>
      <w:r>
        <w:t>.</w:t>
      </w:r>
    </w:p>
    <w:p w14:paraId="1E0BB26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corrigió el defecto donde </w:t>
      </w:r>
      <w:r>
        <w:rPr>
          <w:rFonts w:ascii="Consolas" w:hAnsi="Consolas"/>
          <w:color w:val="A31515"/>
        </w:rPr>
        <w:t>deliveryZip</w:t>
      </w:r>
      <w:r>
        <w:t xml:space="preserve"> tomaba el valor de </w:t>
      </w:r>
      <w:r>
        <w:rPr>
          <w:rFonts w:ascii="Consolas" w:hAnsi="Consolas"/>
          <w:color w:val="A31515"/>
        </w:rPr>
        <w:t>deliveryState</w:t>
      </w:r>
      <w:r>
        <w:t xml:space="preserve">. Se introdujo el DTO </w:t>
      </w:r>
      <w:r>
        <w:rPr>
          <w:rFonts w:ascii="Consolas" w:hAnsi="Consolas"/>
          <w:color w:val="A31515"/>
        </w:rPr>
        <w:t>OrderPatchDto</w:t>
      </w:r>
      <w:r>
        <w:t xml:space="preserve"> que limita la edición exclusivamente a datos de entrega autorizados (nombre, calle, ciudad, estado, zip). Se bloqueó la mutación masiva de campos sensibles o calculados por el servidor (ID, usuario, fecha, total, estado, datos de pago y lista de tacos) y se aplicó control de propiedad del usuario autenticado.</w:t>
      </w:r>
    </w:p>
    <w:p w14:paraId="41C8E83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regresión que verifican que alterar el ZIP no afecta al estado y que intentos de modificar campos prohibidos son ignorados o rechazados.</w:t>
      </w:r>
    </w:p>
    <w:p w14:paraId="5380B5E2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TC-05: PUT y DELETE de órdenes con identidad consistente</w:t>
      </w:r>
    </w:p>
    <w:p w14:paraId="0BCE724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TC-08 recomendado</w:t>
      </w:r>
    </w:p>
    <w:p w14:paraId="0A02B2B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tacocloud-api/.../OrderApiController.java</w:t>
      </w:r>
    </w:p>
    <w:p w14:paraId="248F9ED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PUT /api/orders/{id}</w:t>
      </w:r>
      <w:r>
        <w:t xml:space="preserve"> y </w:t>
      </w:r>
      <w:r>
        <w:rPr>
          <w:rFonts w:ascii="Consolas" w:hAnsi="Consolas"/>
          <w:color w:val="A31515"/>
        </w:rPr>
        <w:t>DELETE /api/orders/{id}</w:t>
      </w:r>
      <w:r>
        <w:t xml:space="preserve"> $\rightarrow$ 200, 204, 403, 404, 409.</w:t>
      </w:r>
    </w:p>
    <w:p w14:paraId="34CCFE4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agregó </w:t>
      </w:r>
      <w:r>
        <w:rPr>
          <w:rFonts w:ascii="Consolas" w:hAnsi="Consolas"/>
          <w:color w:val="A31515"/>
        </w:rPr>
        <w:t>@PathVariable orderId</w:t>
      </w:r>
      <w:r>
        <w:t xml:space="preserve"> al PUT para exigir coincidencia estricta con el cuerpo. Se implementó verificación de propiedad (ownership): un usuario común solo puede modificar/cancelar sus propias órdenes; solo </w:t>
      </w:r>
      <w:r>
        <w:rPr>
          <w:rFonts w:ascii="Consolas" w:hAnsi="Consolas"/>
          <w:color w:val="A31515"/>
        </w:rPr>
        <w:t>ROLE_ADMIN</w:t>
      </w:r>
      <w:r>
        <w:t xml:space="preserve"> puede auditar órdenes ajenas. Se prohibió la eliminación física de órdenes en preparación o estados avanzados, respondiendo 409 Conflict o guiando la transición hacia </w:t>
      </w:r>
      <w:r>
        <w:rPr>
          <w:rFonts w:ascii="Consolas" w:hAnsi="Consolas"/>
          <w:color w:val="A31515"/>
        </w:rPr>
        <w:t>CANCELLED</w:t>
      </w:r>
      <w:r>
        <w:t>.</w:t>
      </w:r>
    </w:p>
    <w:p w14:paraId="3743229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PUT con IDs contradictorios, DELETE de órdenes ajenas y órdenes en estado no cancelable.</w:t>
      </w:r>
    </w:p>
    <w:p w14:paraId="2593A572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TC-06: Convertir órdenes de correo sin carreras ni nulls sorpresa</w:t>
      </w:r>
    </w:p>
    <w:p w14:paraId="2C3EDA0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Ninguna</w:t>
      </w:r>
    </w:p>
    <w:p w14:paraId="023F5A0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tacocloud-api/.../EmailOrderService.java</w:t>
      </w:r>
      <w:r>
        <w:t xml:space="preserve">, </w:t>
      </w:r>
      <w:r>
        <w:rPr>
          <w:rFonts w:ascii="Consolas" w:hAnsi="Consolas"/>
          <w:color w:val="A31515"/>
        </w:rPr>
        <w:t>EmailOrderServiceTest.java</w:t>
      </w:r>
    </w:p>
    <w:p w14:paraId="536D47F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Mono&lt;EmailOrder&gt;</w:t>
      </w:r>
      <w:r>
        <w:t xml:space="preserve"> $\rightarrow$ </w:t>
      </w:r>
      <w:r>
        <w:rPr>
          <w:rFonts w:ascii="Consolas" w:hAnsi="Consolas"/>
          <w:color w:val="A31515"/>
        </w:rPr>
        <w:t>Mono&lt;TacoOrder&gt;</w:t>
      </w:r>
      <w:r>
        <w:t>.</w:t>
      </w:r>
    </w:p>
    <w:p w14:paraId="226F640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eliminaron las llamadas a </w:t>
      </w:r>
      <w:r>
        <w:rPr>
          <w:rFonts w:ascii="Consolas" w:hAnsi="Consolas"/>
          <w:color w:val="A31515"/>
        </w:rPr>
        <w:t>subscribe()</w:t>
      </w:r>
      <w:r>
        <w:t xml:space="preserve"> anidadas y los </w:t>
      </w:r>
      <w:r>
        <w:rPr>
          <w:rFonts w:ascii="Consolas" w:hAnsi="Consolas"/>
          <w:color w:val="A31515"/>
        </w:rPr>
        <w:t>ArrayList</w:t>
      </w:r>
      <w:r>
        <w:t xml:space="preserve"> mutados en callbacks asíncronos. Se compuso la transformación mediante </w:t>
      </w:r>
      <w:r>
        <w:rPr>
          <w:rFonts w:ascii="Consolas" w:hAnsi="Consolas"/>
          <w:color w:val="A31515"/>
        </w:rPr>
        <w:t>Mono.zip</w:t>
      </w:r>
      <w:r>
        <w:t xml:space="preserve"> para resolver usuario y método de pago, y </w:t>
      </w:r>
      <w:r>
        <w:rPr>
          <w:rFonts w:ascii="Consolas" w:hAnsi="Consolas"/>
          <w:color w:val="A31515"/>
        </w:rPr>
        <w:t>Flux.fromIterable(emailOrder.getTacos()).concatMap(...)</w:t>
      </w:r>
      <w:r>
        <w:t xml:space="preserve"> junto con </w:t>
      </w:r>
      <w:r>
        <w:rPr>
          <w:rFonts w:ascii="Consolas" w:hAnsi="Consolas"/>
          <w:color w:val="A31515"/>
        </w:rPr>
        <w:t>collectList()</w:t>
      </w:r>
      <w:r>
        <w:t xml:space="preserve"> para ensamblar los ingredientes de forma determinista y secuencial, emitiendo errores tipados si un ingrediente o usuario no existe.</w:t>
      </w:r>
    </w:p>
    <w:p w14:paraId="265DCE2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con </w:t>
      </w:r>
      <w:r>
        <w:rPr>
          <w:rFonts w:ascii="Consolas" w:hAnsi="Consolas"/>
          <w:color w:val="A31515"/>
        </w:rPr>
        <w:t>StepVerifier</w:t>
      </w:r>
      <w:r>
        <w:t xml:space="preserve"> para flujos exitosos multi-taco y pruebas de fallo ante ingredientes inexistentes.</w:t>
      </w:r>
    </w:p>
    <w:p w14:paraId="77BA143D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38A76E35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2 — Contratos y Seguridad</w:t>
      </w:r>
    </w:p>
    <w:p w14:paraId="0A3BBF73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Cerrar fugas de dominio y datos sensibles, validar entradas y aplicar autorización real.</w:t>
      </w:r>
    </w:p>
    <w:p w14:paraId="312C4A3D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TC-07: Una sola suscripción para guardar y publicar</w:t>
      </w:r>
    </w:p>
    <w:p w14:paraId="0B28C72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TC-06</w:t>
      </w:r>
    </w:p>
    <w:p w14:paraId="366BDC9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tacocloud-api/.../OrderApiController.java</w:t>
      </w:r>
      <w:r>
        <w:t xml:space="preserve">, </w:t>
      </w:r>
      <w:r>
        <w:rPr>
          <w:rFonts w:ascii="Consolas" w:hAnsi="Consolas"/>
          <w:color w:val="A31515"/>
        </w:rPr>
        <w:t>EmailOrderService.java</w:t>
      </w:r>
    </w:p>
    <w:p w14:paraId="62FB192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/api/orders/fromEmail</w:t>
      </w:r>
      <w:r>
        <w:t xml:space="preserve"> $\rightarrow$ 201 Created.</w:t>
      </w:r>
    </w:p>
    <w:p w14:paraId="5601984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integró la recepción de correo en una sola tubería reactiva continua: conversión del email $\rightarrow$ persistencia en </w:t>
      </w:r>
      <w:r>
        <w:rPr>
          <w:rFonts w:ascii="Consolas" w:hAnsi="Consolas"/>
          <w:color w:val="A31515"/>
        </w:rPr>
        <w:t>orderRepo.save()</w:t>
      </w:r>
      <w:r>
        <w:t xml:space="preserve"> $\rightarrow$ publicación al broker vía </w:t>
      </w:r>
      <w:r>
        <w:rPr>
          <w:rFonts w:ascii="Consolas" w:hAnsi="Consolas"/>
          <w:color w:val="A31515"/>
        </w:rPr>
        <w:t>messagingService.sendOrder()</w:t>
      </w:r>
      <w:r>
        <w:t>. Se eliminaron suscripciones manuales redundantes que provocaban duplicidad en el broker o inconsistencias ante fallos intermedios.</w:t>
      </w:r>
    </w:p>
    <w:p w14:paraId="163BE03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con mocks verificando exactamente una invocación a persistencia y exactamente una publicación al broker.</w:t>
      </w:r>
    </w:p>
    <w:p w14:paraId="12149012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TC-08: Separar DTOs de entrada, respuesta y persistencia</w:t>
      </w:r>
    </w:p>
    <w:p w14:paraId="39E7B4F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TC-01 a TC-07 recomendados</w:t>
      </w:r>
    </w:p>
    <w:p w14:paraId="09164AF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tacocloud-api/.../dto/*</w:t>
      </w:r>
      <w:r>
        <w:t xml:space="preserve"> (</w:t>
      </w:r>
      <w:r>
        <w:rPr>
          <w:rFonts w:ascii="Consolas" w:hAnsi="Consolas"/>
          <w:color w:val="A31515"/>
        </w:rPr>
        <w:t>OrderCreateRequest</w:t>
      </w:r>
      <w:r>
        <w:t xml:space="preserve">, </w:t>
      </w:r>
      <w:r>
        <w:rPr>
          <w:rFonts w:ascii="Consolas" w:hAnsi="Consolas"/>
          <w:color w:val="A31515"/>
        </w:rPr>
        <w:t>OrderResponse</w:t>
      </w:r>
      <w:r>
        <w:t xml:space="preserve">, </w:t>
      </w:r>
      <w:r>
        <w:rPr>
          <w:rFonts w:ascii="Consolas" w:hAnsi="Consolas"/>
          <w:color w:val="A31515"/>
        </w:rPr>
        <w:t>IngredientResponse</w:t>
      </w:r>
      <w:r>
        <w:t>, mappers)</w:t>
      </w:r>
    </w:p>
    <w:p w14:paraId="37459F8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Endpoints de API consumen y retornan DTOs seguros.</w:t>
      </w:r>
    </w:p>
    <w:p w14:paraId="050686D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desacoplaron totalmente las entidades </w:t>
      </w:r>
      <w:r>
        <w:rPr>
          <w:rFonts w:ascii="Consolas" w:hAnsi="Consolas"/>
          <w:color w:val="A31515"/>
        </w:rPr>
        <w:t>@Document</w:t>
      </w:r>
      <w:r>
        <w:t xml:space="preserve"> de MongoDB de la capa de transporte HTTP. Las respuestas excluyen contraseñas, autoridades, números de tarjeta (PAN), códigos de seguridad (CVV) y objetos de usuario internos. Los clientes ya no pueden fijar el ID, </w:t>
      </w:r>
      <w:r>
        <w:rPr>
          <w:rFonts w:ascii="Consolas" w:hAnsi="Consolas"/>
          <w:color w:val="A31515"/>
        </w:rPr>
        <w:t>placedAt</w:t>
      </w:r>
      <w:r>
        <w:t xml:space="preserve">, </w:t>
      </w:r>
      <w:r>
        <w:rPr>
          <w:rFonts w:ascii="Consolas" w:hAnsi="Consolas"/>
          <w:color w:val="A31515"/>
        </w:rPr>
        <w:t>status</w:t>
      </w:r>
      <w:r>
        <w:t xml:space="preserve"> ni </w:t>
      </w:r>
      <w:r>
        <w:rPr>
          <w:rFonts w:ascii="Consolas" w:hAnsi="Consolas"/>
          <w:color w:val="A31515"/>
        </w:rPr>
        <w:t>total</w:t>
      </w:r>
      <w:r>
        <w:t>.</w:t>
      </w:r>
    </w:p>
    <w:p w14:paraId="666FBCC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serialización negativas que confirman la ausencia de campos confidenciales y pruebas de asignación masiva protegidas.</w:t>
      </w:r>
    </w:p>
    <w:p w14:paraId="67AABE04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TC-09: Validación y errores tipo Problem Details</w:t>
      </w:r>
    </w:p>
    <w:p w14:paraId="1C488C7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TC-08</w:t>
      </w:r>
    </w:p>
    <w:p w14:paraId="2641E2D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tacocloud-api/.../errors/ApiProblem.java</w:t>
      </w:r>
      <w:r>
        <w:t xml:space="preserve">, </w:t>
      </w:r>
      <w:r>
        <w:rPr>
          <w:rFonts w:ascii="Consolas" w:hAnsi="Consolas"/>
          <w:color w:val="A31515"/>
        </w:rPr>
        <w:t>RestResponseEntityExceptionHandler.java</w:t>
      </w:r>
    </w:p>
    <w:p w14:paraId="48A70BC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Respuestas de error estructuradas compatibles con RFC 9457 (</w:t>
      </w:r>
      <w:r>
        <w:rPr>
          <w:rFonts w:ascii="Consolas" w:hAnsi="Consolas"/>
          <w:color w:val="A31515"/>
        </w:rPr>
        <w:t>application/problem+json</w:t>
      </w:r>
      <w:r>
        <w:t>).</w:t>
      </w:r>
    </w:p>
    <w:p w14:paraId="4B7B65F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creó el DTO </w:t>
      </w:r>
      <w:r>
        <w:rPr>
          <w:rFonts w:ascii="Consolas" w:hAnsi="Consolas"/>
          <w:color w:val="A31515"/>
        </w:rPr>
        <w:t>ApiProblem</w:t>
      </w:r>
      <w:r>
        <w:t xml:space="preserve"> con campos </w:t>
      </w:r>
      <w:r>
        <w:rPr>
          <w:rFonts w:ascii="Consolas" w:hAnsi="Consolas"/>
          <w:color w:val="A31515"/>
        </w:rPr>
        <w:t>type</w:t>
      </w:r>
      <w:r>
        <w:t xml:space="preserve">, </w:t>
      </w:r>
      <w:r>
        <w:rPr>
          <w:rFonts w:ascii="Consolas" w:hAnsi="Consolas"/>
          <w:color w:val="A31515"/>
        </w:rPr>
        <w:t>title</w:t>
      </w:r>
      <w:r>
        <w:t xml:space="preserve">, </w:t>
      </w:r>
      <w:r>
        <w:rPr>
          <w:rFonts w:ascii="Consolas" w:hAnsi="Consolas"/>
          <w:color w:val="A31515"/>
        </w:rPr>
        <w:t>status</w:t>
      </w:r>
      <w:r>
        <w:t xml:space="preserve">, </w:t>
      </w:r>
      <w:r>
        <w:rPr>
          <w:rFonts w:ascii="Consolas" w:hAnsi="Consolas"/>
          <w:color w:val="A31515"/>
        </w:rPr>
        <w:t>detail</w:t>
      </w:r>
      <w:r>
        <w:t xml:space="preserve">, </w:t>
      </w:r>
      <w:r>
        <w:rPr>
          <w:rFonts w:ascii="Consolas" w:hAnsi="Consolas"/>
          <w:color w:val="A31515"/>
        </w:rPr>
        <w:t>instance</w:t>
      </w:r>
      <w:r>
        <w:t xml:space="preserve">, </w:t>
      </w:r>
      <w:r>
        <w:rPr>
          <w:rFonts w:ascii="Consolas" w:hAnsi="Consolas"/>
          <w:color w:val="A31515"/>
        </w:rPr>
        <w:t>code</w:t>
      </w:r>
      <w:r>
        <w:t xml:space="preserve">, </w:t>
      </w:r>
      <w:r>
        <w:rPr>
          <w:rFonts w:ascii="Consolas" w:hAnsi="Consolas"/>
          <w:color w:val="A31515"/>
        </w:rPr>
        <w:t>violations</w:t>
      </w:r>
      <w:r>
        <w:t xml:space="preserve"> y </w:t>
      </w:r>
      <w:r>
        <w:rPr>
          <w:rFonts w:ascii="Consolas" w:hAnsi="Consolas"/>
          <w:color w:val="A31515"/>
        </w:rPr>
        <w:t>correlationId</w:t>
      </w:r>
      <w:r>
        <w:t xml:space="preserve">. Se configuró un </w:t>
      </w:r>
      <w:r>
        <w:rPr>
          <w:rFonts w:ascii="Consolas" w:hAnsi="Consolas"/>
          <w:color w:val="A31515"/>
        </w:rPr>
        <w:t>@RestControllerAdvice</w:t>
      </w:r>
      <w:r>
        <w:t xml:space="preserve"> reactivo que captura errores de validación de Bean Validation, recursos ausentes, conflictos y </w:t>
      </w:r>
      <w:r>
        <w:lastRenderedPageBreak/>
        <w:t>excepciones de negocio sin filtrar trazas de pila (stack traces) ni detalles internos del motor de base de datos.</w:t>
      </w:r>
    </w:p>
    <w:p w14:paraId="5803E06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automatizadas de validación con múltiples campos inválidos y verificación de respuestas uniformes para 400, 404, 409 y 422.</w:t>
      </w:r>
    </w:p>
    <w:p w14:paraId="27C43B7D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TC-10: Registro reactivo con contraseñas protegidas</w:t>
      </w:r>
    </w:p>
    <w:p w14:paraId="2E2AF81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TC-09 recomendado</w:t>
      </w:r>
    </w:p>
    <w:p w14:paraId="417D31D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tacocloud-security/.../RegistrationController.java</w:t>
      </w:r>
      <w:r>
        <w:t xml:space="preserve">, </w:t>
      </w:r>
      <w:r>
        <w:rPr>
          <w:rFonts w:ascii="Consolas" w:hAnsi="Consolas"/>
          <w:color w:val="A31515"/>
        </w:rPr>
        <w:t>SecurityConfig.java</w:t>
      </w:r>
    </w:p>
    <w:p w14:paraId="7AEF20D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/register</w:t>
      </w:r>
      <w:r>
        <w:t xml:space="preserve"> o </w:t>
      </w:r>
      <w:r>
        <w:rPr>
          <w:rFonts w:ascii="Consolas" w:hAnsi="Consolas"/>
          <w:color w:val="A31515"/>
        </w:rPr>
        <w:t>POST /api/users</w:t>
      </w:r>
      <w:r>
        <w:t xml:space="preserve"> $\rightarrow$ 201 Created.</w:t>
      </w:r>
    </w:p>
    <w:p w14:paraId="42CB900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eliminó </w:t>
      </w:r>
      <w:r>
        <w:rPr>
          <w:rFonts w:ascii="Consolas" w:hAnsi="Consolas"/>
          <w:color w:val="A31515"/>
        </w:rPr>
        <w:t>NoOpPasswordEncoder</w:t>
      </w:r>
      <w:r>
        <w:t xml:space="preserve"> y se configuró </w:t>
      </w:r>
      <w:r>
        <w:rPr>
          <w:rFonts w:ascii="Consolas" w:hAnsi="Consolas"/>
          <w:color w:val="A31515"/>
        </w:rPr>
        <w:t>PasswordEncoderFactories.createDelegatingPasswordEncoder()</w:t>
      </w:r>
      <w:r>
        <w:t xml:space="preserve"> ({bcrypt}). El controlador de registro compone reactivamente la llamada </w:t>
      </w:r>
      <w:r>
        <w:rPr>
          <w:rFonts w:ascii="Consolas" w:hAnsi="Consolas"/>
          <w:color w:val="A31515"/>
        </w:rPr>
        <w:t>userRepo.save()</w:t>
      </w:r>
      <w:r>
        <w:t xml:space="preserve"> retornando el </w:t>
      </w:r>
      <w:r>
        <w:rPr>
          <w:rFonts w:ascii="Consolas" w:hAnsi="Consolas"/>
          <w:color w:val="A31515"/>
        </w:rPr>
        <w:t>Mono</w:t>
      </w:r>
      <w:r>
        <w:t xml:space="preserve">. Se creó un índice único en MongoDB sobre </w:t>
      </w:r>
      <w:r>
        <w:rPr>
          <w:rFonts w:ascii="Consolas" w:hAnsi="Consolas"/>
          <w:color w:val="A31515"/>
        </w:rPr>
        <w:t>username</w:t>
      </w:r>
      <w:r>
        <w:t xml:space="preserve"> y </w:t>
      </w:r>
      <w:r>
        <w:rPr>
          <w:rFonts w:ascii="Consolas" w:hAnsi="Consolas"/>
          <w:color w:val="A31515"/>
        </w:rPr>
        <w:t>email</w:t>
      </w:r>
      <w:r>
        <w:t xml:space="preserve"> para atrapar colisiones concurrentes y responder con </w:t>
      </w:r>
      <w:r>
        <w:rPr>
          <w:rFonts w:ascii="Consolas" w:hAnsi="Consolas"/>
          <w:color w:val="A31515"/>
        </w:rPr>
        <w:t>409 Conflict</w:t>
      </w:r>
      <w:r>
        <w:t>, sin registrar contraseñas en texto claro ni logs.</w:t>
      </w:r>
    </w:p>
    <w:p w14:paraId="16603D2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de codificación con bcrypt y pruebas de integración para rechazo de usuarios duplicados.</w:t>
      </w:r>
    </w:p>
    <w:p w14:paraId="05178D6A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TC-11: Autorización deny-by-default y roles útiles</w:t>
      </w:r>
    </w:p>
    <w:p w14:paraId="7398D97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TC-10</w:t>
      </w:r>
    </w:p>
    <w:p w14:paraId="49DBD91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tacocloud-security/.../SecurityConfig.java</w:t>
      </w:r>
    </w:p>
    <w:p w14:paraId="1225056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Matriz de seguridad reactiva </w:t>
      </w:r>
      <w:r>
        <w:rPr>
          <w:rFonts w:ascii="Consolas" w:hAnsi="Consolas"/>
          <w:color w:val="A31515"/>
        </w:rPr>
        <w:t>ServerHttpSecurity</w:t>
      </w:r>
      <w:r>
        <w:t>.</w:t>
      </w:r>
    </w:p>
    <w:p w14:paraId="314E02E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una política de autorización estricta </w:t>
      </w:r>
      <w:r>
        <w:rPr>
          <w:i/>
        </w:rPr>
        <w:t>deny-by-default</w:t>
      </w:r>
      <w:r>
        <w:t xml:space="preserve">: roles </w:t>
      </w:r>
      <w:r>
        <w:rPr>
          <w:rFonts w:ascii="Consolas" w:hAnsi="Consolas"/>
          <w:color w:val="A31515"/>
        </w:rPr>
        <w:t>ROLE_USER</w:t>
      </w:r>
      <w:r>
        <w:t xml:space="preserve">, </w:t>
      </w:r>
      <w:r>
        <w:rPr>
          <w:rFonts w:ascii="Consolas" w:hAnsi="Consolas"/>
          <w:color w:val="A31515"/>
        </w:rPr>
        <w:t>ROLE_ADMIN</w:t>
      </w:r>
      <w:r>
        <w:t xml:space="preserve"> y </w:t>
      </w:r>
      <w:r>
        <w:rPr>
          <w:rFonts w:ascii="Consolas" w:hAnsi="Consolas"/>
          <w:color w:val="A31515"/>
        </w:rPr>
        <w:t>ROLE_KITCHEN</w:t>
      </w:r>
      <w:r>
        <w:t xml:space="preserve">. Lectura pública para catálogo de ingredientes y OpenAPI; ADMIN para ajustes de inventario y anuncios; KITCHEN para cola de preparación; USER autenticado para órdenes propias. Toda ruta no autorizada explícitamente se rechaza por defecto con regla </w:t>
      </w:r>
      <w:r>
        <w:rPr>
          <w:rFonts w:ascii="Consolas" w:hAnsi="Consolas"/>
          <w:color w:val="A31515"/>
        </w:rPr>
        <w:t>anyExchange().authenticated()</w:t>
      </w:r>
      <w:r>
        <w:t>.</w:t>
      </w:r>
    </w:p>
    <w:p w14:paraId="18D2761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acceso negativo 401 y 403 por rol, pruebas de prevención de acceso cruzado entre usuarios (IDOR) y pruebas de endpoints no listados.</w:t>
      </w:r>
    </w:p>
    <w:p w14:paraId="5D093B34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TC-12: Tokenizar pago y eliminar PAN/CVV del dominio</w:t>
      </w:r>
    </w:p>
    <w:p w14:paraId="4631147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TC-08, TC-09</w:t>
      </w:r>
    </w:p>
    <w:p w14:paraId="63EB7D4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tacocloud-domain-mongodb/.../PaymentMethod.java</w:t>
      </w:r>
      <w:r>
        <w:t xml:space="preserve">, </w:t>
      </w:r>
      <w:r>
        <w:rPr>
          <w:rFonts w:ascii="Consolas" w:hAnsi="Consolas"/>
          <w:color w:val="A31515"/>
        </w:rPr>
        <w:t>TacoOrder.java</w:t>
      </w:r>
      <w:r>
        <w:t xml:space="preserve">, </w:t>
      </w:r>
      <w:r>
        <w:rPr>
          <w:rFonts w:ascii="Consolas" w:hAnsi="Consolas"/>
          <w:color w:val="A31515"/>
        </w:rPr>
        <w:t>PaymentGateway.java</w:t>
      </w:r>
    </w:p>
    <w:p w14:paraId="5C333C9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PaymentMethod</w:t>
      </w:r>
      <w:r>
        <w:t xml:space="preserve"> con token seguro y eliminación de datos sensibles.</w:t>
      </w:r>
    </w:p>
    <w:p w14:paraId="34A8D84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eliminaron definitivamente </w:t>
      </w:r>
      <w:r>
        <w:rPr>
          <w:rFonts w:ascii="Consolas" w:hAnsi="Consolas"/>
          <w:color w:val="A31515"/>
        </w:rPr>
        <w:t>ccNumber</w:t>
      </w:r>
      <w:r>
        <w:t xml:space="preserve">, </w:t>
      </w:r>
      <w:r>
        <w:rPr>
          <w:rFonts w:ascii="Consolas" w:hAnsi="Consolas"/>
          <w:color w:val="A31515"/>
        </w:rPr>
        <w:t>ccExpiration</w:t>
      </w:r>
      <w:r>
        <w:t xml:space="preserve"> y </w:t>
      </w:r>
      <w:r>
        <w:rPr>
          <w:rFonts w:ascii="Consolas" w:hAnsi="Consolas"/>
          <w:color w:val="A31515"/>
        </w:rPr>
        <w:t>ccCVV</w:t>
      </w:r>
      <w:r>
        <w:t xml:space="preserve"> del modelo </w:t>
      </w:r>
      <w:r>
        <w:rPr>
          <w:rFonts w:ascii="Consolas" w:hAnsi="Consolas"/>
          <w:color w:val="A31515"/>
        </w:rPr>
        <w:t>TacoOrder</w:t>
      </w:r>
      <w:r>
        <w:t xml:space="preserve"> y de los eventos de mensajería. Se introdujo una pasarela de pago simulada (</w:t>
      </w:r>
      <w:r>
        <w:rPr>
          <w:rFonts w:ascii="Consolas" w:hAnsi="Consolas"/>
          <w:color w:val="A31515"/>
        </w:rPr>
        <w:t>PaymentGateway</w:t>
      </w:r>
      <w:r>
        <w:t xml:space="preserve">) que tokeniza la información en la captura, almacenando únicamente </w:t>
      </w:r>
      <w:r>
        <w:rPr>
          <w:rFonts w:ascii="Consolas" w:hAnsi="Consolas"/>
          <w:color w:val="A31515"/>
        </w:rPr>
        <w:t>paymentToken</w:t>
      </w:r>
      <w:r>
        <w:t xml:space="preserve">, </w:t>
      </w:r>
      <w:r>
        <w:rPr>
          <w:rFonts w:ascii="Consolas" w:hAnsi="Consolas"/>
          <w:color w:val="A31515"/>
        </w:rPr>
        <w:t>brand</w:t>
      </w:r>
      <w:r>
        <w:t xml:space="preserve">, </w:t>
      </w:r>
      <w:r>
        <w:rPr>
          <w:rFonts w:ascii="Consolas" w:hAnsi="Consolas"/>
          <w:color w:val="A31515"/>
        </w:rPr>
        <w:t>last4</w:t>
      </w:r>
      <w:r>
        <w:t xml:space="preserve"> y año/mes de expiración no sensible. Cero persistencia de CVV cumpliendo estrictamente con PCI-DSS.</w:t>
      </w:r>
    </w:p>
    <w:p w14:paraId="4C7E110E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Verificación:</w:t>
      </w:r>
      <w:r>
        <w:t xml:space="preserve"> Pruebas de serialización y búsqueda en código que confirman la ausencia de referencias a PAN/CVV en respuestas y eventos.</w:t>
      </w:r>
    </w:p>
    <w:p w14:paraId="1B612A31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799C670C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3 — Motor de Negocio</w:t>
      </w:r>
    </w:p>
    <w:p w14:paraId="002A41FB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Convertir el ejemplo en una aplicación que calcula, valida, reserva y decide.</w:t>
      </w:r>
    </w:p>
    <w:p w14:paraId="7031EF01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TC-13: Catálogo con precio, disponibilidad y stock</w:t>
      </w:r>
    </w:p>
    <w:p w14:paraId="46AAFBB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TC-08, TC-09</w:t>
      </w:r>
    </w:p>
    <w:p w14:paraId="28886BF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tacocloud-domain-mongodb/.../Ingredient.java</w:t>
      </w:r>
      <w:r>
        <w:t xml:space="preserve">, </w:t>
      </w:r>
      <w:r>
        <w:rPr>
          <w:rFonts w:ascii="Consolas" w:hAnsi="Consolas"/>
          <w:color w:val="A31515"/>
        </w:rPr>
        <w:t>tacocloud-api/.../AdminIngredientController.java</w:t>
      </w:r>
    </w:p>
    <w:p w14:paraId="14A372B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GET /api/ingredients</w:t>
      </w:r>
      <w:r>
        <w:t xml:space="preserve">, </w:t>
      </w:r>
      <w:r>
        <w:rPr>
          <w:rFonts w:ascii="Consolas" w:hAnsi="Consolas"/>
          <w:color w:val="A31515"/>
        </w:rPr>
        <w:t>PATCH /api/admin/ingredients/{id}/catalog</w:t>
      </w:r>
      <w:r>
        <w:t>, operaciones de stock.</w:t>
      </w:r>
    </w:p>
    <w:p w14:paraId="5D74E45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enriqueció </w:t>
      </w:r>
      <w:r>
        <w:rPr>
          <w:rFonts w:ascii="Consolas" w:hAnsi="Consolas"/>
          <w:color w:val="A31515"/>
        </w:rPr>
        <w:t>Ingredient</w:t>
      </w:r>
      <w:r>
        <w:t xml:space="preserve"> con </w:t>
      </w:r>
      <w:r>
        <w:rPr>
          <w:rFonts w:ascii="Consolas" w:hAnsi="Consolas"/>
          <w:color w:val="A31515"/>
        </w:rPr>
        <w:t>unitPrice</w:t>
      </w:r>
      <w:r>
        <w:t xml:space="preserve"> (</w:t>
      </w:r>
      <w:r>
        <w:rPr>
          <w:rFonts w:ascii="Consolas" w:hAnsi="Consolas"/>
          <w:color w:val="A31515"/>
        </w:rPr>
        <w:t>BigDecimal</w:t>
      </w:r>
      <w:r>
        <w:t xml:space="preserve">), </w:t>
      </w:r>
      <w:r>
        <w:rPr>
          <w:rFonts w:ascii="Consolas" w:hAnsi="Consolas"/>
          <w:color w:val="A31515"/>
        </w:rPr>
        <w:t>available</w:t>
      </w:r>
      <w:r>
        <w:t xml:space="preserve"> (</w:t>
      </w:r>
      <w:r>
        <w:rPr>
          <w:rFonts w:ascii="Consolas" w:hAnsi="Consolas"/>
          <w:color w:val="A31515"/>
        </w:rPr>
        <w:t>boolean</w:t>
      </w:r>
      <w:r>
        <w:t xml:space="preserve">), </w:t>
      </w:r>
      <w:r>
        <w:rPr>
          <w:rFonts w:ascii="Consolas" w:hAnsi="Consolas"/>
          <w:color w:val="A31515"/>
        </w:rPr>
        <w:t>stockOnHand</w:t>
      </w:r>
      <w:r>
        <w:t xml:space="preserve"> (</w:t>
      </w:r>
      <w:r>
        <w:rPr>
          <w:rFonts w:ascii="Consolas" w:hAnsi="Consolas"/>
          <w:color w:val="A31515"/>
        </w:rPr>
        <w:t>int</w:t>
      </w:r>
      <w:r>
        <w:t xml:space="preserve">), </w:t>
      </w:r>
      <w:r>
        <w:rPr>
          <w:rFonts w:ascii="Consolas" w:hAnsi="Consolas"/>
          <w:color w:val="A31515"/>
        </w:rPr>
        <w:t>reorderLevel</w:t>
      </w:r>
      <w:r>
        <w:t xml:space="preserve"> y </w:t>
      </w:r>
      <w:r>
        <w:rPr>
          <w:rFonts w:ascii="Consolas" w:hAnsi="Consolas"/>
          <w:color w:val="A31515"/>
        </w:rPr>
        <w:t>@Version</w:t>
      </w:r>
      <w:r>
        <w:t xml:space="preserve"> para concurrencia optimista. Se crearon endpoints administrativos para modificar precios, disponibilidad y stock mediante operaciones explícitas restringidas a </w:t>
      </w:r>
      <w:r>
        <w:rPr>
          <w:rFonts w:ascii="Consolas" w:hAnsi="Consolas"/>
          <w:color w:val="A31515"/>
        </w:rPr>
        <w:t>ROLE_ADMIN</w:t>
      </w:r>
      <w:r>
        <w:t>, impidiendo saldos negativos.</w:t>
      </w:r>
    </w:p>
    <w:p w14:paraId="6867F1B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cálculo con BigDecimal, rechazo de stock negativo con 422/409 y detección de colisiones de versión concurrente.</w:t>
      </w:r>
    </w:p>
    <w:p w14:paraId="76B09760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TC-14: Calcular precios y cantidades del lado servidor</w:t>
      </w:r>
    </w:p>
    <w:p w14:paraId="6FAC29E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TC-08, TC-13</w:t>
      </w:r>
    </w:p>
    <w:p w14:paraId="3AD119B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tacocloud-api/.../pricing/PricingService.java</w:t>
      </w:r>
      <w:r>
        <w:t xml:space="preserve">, </w:t>
      </w:r>
      <w:r>
        <w:rPr>
          <w:rFonts w:ascii="Consolas" w:hAnsi="Consolas"/>
          <w:color w:val="A31515"/>
        </w:rPr>
        <w:t>OrderItem.java</w:t>
      </w:r>
    </w:p>
    <w:p w14:paraId="02D4CA1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/api/orders</w:t>
      </w:r>
      <w:r>
        <w:t xml:space="preserve"> con líneas de orden </w:t>
      </w:r>
      <w:r>
        <w:rPr>
          <w:rFonts w:ascii="Consolas" w:hAnsi="Consolas"/>
          <w:color w:val="A31515"/>
        </w:rPr>
        <w:t>[{taco, quantity}]</w:t>
      </w:r>
      <w:r>
        <w:t>.</w:t>
      </w:r>
    </w:p>
    <w:p w14:paraId="3858AB5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introdujeron líneas de pedido con cantidad (</w:t>
      </w:r>
      <w:r>
        <w:rPr>
          <w:rFonts w:ascii="Consolas" w:hAnsi="Consolas"/>
          <w:color w:val="A31515"/>
        </w:rPr>
        <w:t>quantity</w:t>
      </w:r>
      <w:r>
        <w:t>), precio unitario (</w:t>
      </w:r>
      <w:r>
        <w:rPr>
          <w:rFonts w:ascii="Consolas" w:hAnsi="Consolas"/>
          <w:color w:val="A31515"/>
        </w:rPr>
        <w:t>unitPriceAtPurchase</w:t>
      </w:r>
      <w:r>
        <w:t xml:space="preserve">) y subtotal. El servidor calcula todos los importes utilizando los precios vigentes del catálogo con </w:t>
      </w:r>
      <w:r>
        <w:rPr>
          <w:rFonts w:ascii="Consolas" w:hAnsi="Consolas"/>
          <w:color w:val="A31515"/>
        </w:rPr>
        <w:t>BigDecimal</w:t>
      </w:r>
      <w:r>
        <w:t xml:space="preserve"> y </w:t>
      </w:r>
      <w:r>
        <w:rPr>
          <w:rFonts w:ascii="Consolas" w:hAnsi="Consolas"/>
          <w:color w:val="A31515"/>
        </w:rPr>
        <w:t>RoundingMode.HALF_UP</w:t>
      </w:r>
      <w:r>
        <w:t>. Cualquier total monetario enviado por el cliente es ignorado y se guarda un snapshot histórico inmutable de precios para auditoría contable.</w:t>
      </w:r>
    </w:p>
    <w:p w14:paraId="3CB124A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de cálculo matemático con decimales y pruebas contra intentos de manipulación de precios desde el cliente.</w:t>
      </w:r>
    </w:p>
    <w:p w14:paraId="72D836E4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TC-15: Motor de cupones con reglas y fecha de expiración</w:t>
      </w:r>
    </w:p>
    <w:p w14:paraId="6BBEBE5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TC-14</w:t>
      </w:r>
    </w:p>
    <w:p w14:paraId="0F97FC1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tacocloud-api/.../pricing/CouponService.java</w:t>
      </w:r>
      <w:r>
        <w:t xml:space="preserve">, </w:t>
      </w:r>
      <w:r>
        <w:rPr>
          <w:rFonts w:ascii="Consolas" w:hAnsi="Consolas"/>
          <w:color w:val="A31515"/>
        </w:rPr>
        <w:t>DiscountCodeProps.java</w:t>
      </w:r>
    </w:p>
    <w:p w14:paraId="54AE25D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/api/coupons/validate</w:t>
      </w:r>
      <w:r>
        <w:t xml:space="preserve"> con subtotal y código.</w:t>
      </w:r>
    </w:p>
    <w:p w14:paraId="37EF7BA2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Cambio Realizado:</w:t>
      </w:r>
      <w:r>
        <w:t xml:space="preserve"> Se diseñó un motor de promociones desacoplado que soporta descuentos porcentuales (</w:t>
      </w:r>
      <w:r>
        <w:rPr>
          <w:rFonts w:ascii="Consolas" w:hAnsi="Consolas"/>
          <w:color w:val="A31515"/>
        </w:rPr>
        <w:t>PERCENTAGE</w:t>
      </w:r>
      <w:r>
        <w:t>) y de monto fijo (</w:t>
      </w:r>
      <w:r>
        <w:rPr>
          <w:rFonts w:ascii="Consolas" w:hAnsi="Consolas"/>
          <w:color w:val="A31515"/>
        </w:rPr>
        <w:t>FIXED</w:t>
      </w:r>
      <w:r>
        <w:t>), compra mínima y tope máximo de descuento (</w:t>
      </w:r>
      <w:r>
        <w:rPr>
          <w:rFonts w:ascii="Consolas" w:hAnsi="Consolas"/>
          <w:color w:val="A31515"/>
        </w:rPr>
        <w:t>maxDiscount</w:t>
      </w:r>
      <w:r>
        <w:t xml:space="preserve">). Se inyectó </w:t>
      </w:r>
      <w:r>
        <w:rPr>
          <w:rFonts w:ascii="Consolas" w:hAnsi="Consolas"/>
          <w:color w:val="A31515"/>
        </w:rPr>
        <w:t>Clock</w:t>
      </w:r>
      <w:r>
        <w:t xml:space="preserve"> para probar vigencias temporales de forma determinista. Las respuestas son homogéneas para no revelar la existencia de códigos válidos ante ataques de enumeración.</w:t>
      </w:r>
    </w:p>
    <w:p w14:paraId="7966C25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parametrizadas por tipo de cupón, límites de compra mínima y pruebas en fronteras temporales con </w:t>
      </w:r>
      <w:r>
        <w:rPr>
          <w:rFonts w:ascii="Consolas" w:hAnsi="Consolas"/>
          <w:color w:val="A31515"/>
        </w:rPr>
        <w:t>FixedClock</w:t>
      </w:r>
      <w:r>
        <w:t>.</w:t>
      </w:r>
    </w:p>
    <w:p w14:paraId="763AE1FD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TC-16: Reservar y liberar inventario sin vender aire</w:t>
      </w:r>
    </w:p>
    <w:p w14:paraId="4BFCAB4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TC-13, TC-14</w:t>
      </w:r>
    </w:p>
    <w:p w14:paraId="3744CE0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tacocloud-api/.../inventory/InventoryService.java</w:t>
      </w:r>
    </w:p>
    <w:p w14:paraId="65A1356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Reserva atómica interna; error 409 Conflict </w:t>
      </w:r>
      <w:r>
        <w:rPr>
          <w:rFonts w:ascii="Consolas" w:hAnsi="Consolas"/>
          <w:color w:val="A31515"/>
        </w:rPr>
        <w:t>INSUFFICIENT_STOCK</w:t>
      </w:r>
      <w:r>
        <w:t>.</w:t>
      </w:r>
    </w:p>
    <w:p w14:paraId="748A1C6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reserva atómica de existencias utilizando </w:t>
      </w:r>
      <w:r>
        <w:rPr>
          <w:rFonts w:ascii="Consolas" w:hAnsi="Consolas"/>
          <w:color w:val="A31515"/>
        </w:rPr>
        <w:t>findAndModify</w:t>
      </w:r>
      <w:r>
        <w:t xml:space="preserve"> condicionado a </w:t>
      </w:r>
      <w:r>
        <w:rPr>
          <w:rFonts w:ascii="Consolas" w:hAnsi="Consolas"/>
          <w:color w:val="A31515"/>
        </w:rPr>
        <w:t>stockOnHand &gt;= requested</w:t>
      </w:r>
      <w:r>
        <w:t>. Si algún ingrediente carece de stock, la orden se rechaza inmediatamente con 409 Conflict y se aplica compensación reactiva liberando los ingredientes reservados previamente en la misma petición. Al cancelar una orden, el stock se restituye automáticamente al 100%.</w:t>
      </w:r>
    </w:p>
    <w:p w14:paraId="7170D53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concurrencia con compradores compitiendo por la última unidad en stock y verificación de rollback tras cancelación.</w:t>
      </w:r>
    </w:p>
    <w:p w14:paraId="10B170FC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TC-17: Etiquetas dietarias, alérgenos y nivel de picante</w:t>
      </w:r>
    </w:p>
    <w:p w14:paraId="024835B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TC-13</w:t>
      </w:r>
    </w:p>
    <w:p w14:paraId="2741498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tacocloud-api/.../dietary/DietaryClassificationService.java</w:t>
      </w:r>
      <w:r>
        <w:t xml:space="preserve">, enums </w:t>
      </w:r>
      <w:r>
        <w:rPr>
          <w:rFonts w:ascii="Consolas" w:hAnsi="Consolas"/>
          <w:color w:val="A31515"/>
        </w:rPr>
        <w:t>DietaryTag</w:t>
      </w:r>
      <w:r>
        <w:t xml:space="preserve">, </w:t>
      </w:r>
      <w:r>
        <w:rPr>
          <w:rFonts w:ascii="Consolas" w:hAnsi="Consolas"/>
          <w:color w:val="A31515"/>
        </w:rPr>
        <w:t>Allergen</w:t>
      </w:r>
      <w:r>
        <w:t xml:space="preserve">, </w:t>
      </w:r>
      <w:r>
        <w:rPr>
          <w:rFonts w:ascii="Consolas" w:hAnsi="Consolas"/>
          <w:color w:val="A31515"/>
        </w:rPr>
        <w:t>SpiceLevel</w:t>
      </w:r>
    </w:p>
    <w:p w14:paraId="0EADB12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Clasificación derivada en catálogo y cotización.</w:t>
      </w:r>
    </w:p>
    <w:p w14:paraId="38722D7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asociaron enums tipados de etiquetas dietarias, alérgenos y picante a los ingredientes. El servicio deriva dinámicamente la clasificación del taco completo: VEGAN/VEGETARIAN sólo si el 100% de los ingredientes cumplen la regla; los alérgenos corresponden a la unión estricta de sus ingredientes; y el picante se calcula a partir del componente más intenso.</w:t>
      </w:r>
    </w:p>
    <w:p w14:paraId="0F46F13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clasificación donde un taco con un solo ingrediente animal pierde la etiqueta vegana y pruebas de unión de alérgenos.</w:t>
      </w:r>
    </w:p>
    <w:p w14:paraId="2FA0B3A8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TC-18: Taco Physics: reglas componibles de diseño</w:t>
      </w:r>
    </w:p>
    <w:p w14:paraId="4319045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TC-13, TC-17</w:t>
      </w:r>
    </w:p>
    <w:p w14:paraId="31C8E61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tacocloud-api/.../web/api/TacoPhysicsEngine.java</w:t>
      </w:r>
      <w:r>
        <w:t xml:space="preserve">, </w:t>
      </w:r>
      <w:r>
        <w:rPr>
          <w:rFonts w:ascii="Consolas" w:hAnsi="Consolas"/>
          <w:color w:val="A31515"/>
        </w:rPr>
        <w:t>TacoRule.java</w:t>
      </w:r>
    </w:p>
    <w:p w14:paraId="03308BD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/api/tacos/validate</w:t>
      </w:r>
      <w:r>
        <w:t xml:space="preserve"> y validación interna previa a la reserva.</w:t>
      </w:r>
    </w:p>
    <w:p w14:paraId="7871EF3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aplicó el patrón </w:t>
      </w:r>
      <w:r>
        <w:rPr>
          <w:i/>
        </w:rPr>
        <w:t>Specification</w:t>
      </w:r>
      <w:r>
        <w:t xml:space="preserve"> para componer reglas estructurales sobre los tacos: exactamente 1 base (tortilla de maíz, harina o bowl), entre 2 y 12 ingredientes, sin ingredientes repetidos, y reglas de negocio configurables ("Ghost Pepper exige bebida", "Vegan no </w:t>
      </w:r>
      <w:r>
        <w:lastRenderedPageBreak/>
        <w:t>admite carne"). El motor evalúa las especificaciones y retorna todas las violaciones encontradas en una única estructura antes de cotizar o reservar stock.</w:t>
      </w:r>
    </w:p>
    <w:p w14:paraId="45F282E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por regla y pruebas de composición acumulando múltiples violaciones en un diseño inválido.</w:t>
      </w:r>
    </w:p>
    <w:p w14:paraId="03947645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7189D7D5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4 — Funciones que Sí Dan Ganas de Usar</w:t>
      </w:r>
    </w:p>
    <w:p w14:paraId="5029EB02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Agregar búsqueda, favoritos, reputación, historial y recompra con reglas de negocio.</w:t>
      </w:r>
    </w:p>
    <w:p w14:paraId="73298377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TC-19: Buscar, filtrar, ordenar y paginar tacos</w:t>
      </w:r>
    </w:p>
    <w:p w14:paraId="1AA560F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TC-17 recomendado</w:t>
      </w:r>
    </w:p>
    <w:p w14:paraId="5585E3C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tacocloud-api/.../web/api/TacoController.java</w:t>
      </w:r>
      <w:r>
        <w:t xml:space="preserve">, </w:t>
      </w:r>
      <w:r>
        <w:rPr>
          <w:rFonts w:ascii="Consolas" w:hAnsi="Consolas"/>
          <w:color w:val="A31515"/>
        </w:rPr>
        <w:t>TacoRepository.java</w:t>
      </w:r>
    </w:p>
    <w:p w14:paraId="0C8059C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GET /api/tacos?name=&amp;ingredientId=&amp;diet=&amp;excludeAllergen=&amp;spice=&amp;page=0&amp;size=20&amp;sort=createdAt,desc</w:t>
      </w:r>
      <w:r>
        <w:t>.</w:t>
      </w:r>
    </w:p>
    <w:p w14:paraId="330022B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construyó una capa de consulta reactiva con </w:t>
      </w:r>
      <w:r>
        <w:rPr>
          <w:rFonts w:ascii="Consolas" w:hAnsi="Consolas"/>
          <w:color w:val="A31515"/>
        </w:rPr>
        <w:t>ReactiveMongoTemplate</w:t>
      </w:r>
      <w:r>
        <w:t xml:space="preserve"> que admite filtros opcionales combinados por texto, ID de ingrediente, etiqueta dietaria, alérgenos excluidos y nivel de picante. Soporta paginación segura (</w:t>
      </w:r>
      <w:r>
        <w:rPr>
          <w:rFonts w:ascii="Consolas" w:hAnsi="Consolas"/>
          <w:color w:val="A31515"/>
        </w:rPr>
        <w:t>page</w:t>
      </w:r>
      <w:r>
        <w:t xml:space="preserve">, </w:t>
      </w:r>
      <w:r>
        <w:rPr>
          <w:rFonts w:ascii="Consolas" w:hAnsi="Consolas"/>
          <w:color w:val="A31515"/>
        </w:rPr>
        <w:t>size</w:t>
      </w:r>
      <w:r>
        <w:t xml:space="preserve">) y ordenamiento restringido a lista blanca con desempate por </w:t>
      </w:r>
      <w:r>
        <w:rPr>
          <w:rFonts w:ascii="Consolas" w:hAnsi="Consolas"/>
          <w:color w:val="A31515"/>
        </w:rPr>
        <w:t>_id</w:t>
      </w:r>
      <w:r>
        <w:t xml:space="preserve">. Se corrigió la URL en Angular hacia </w:t>
      </w:r>
      <w:r>
        <w:rPr>
          <w:rFonts w:ascii="Consolas" w:hAnsi="Consolas"/>
          <w:color w:val="A31515"/>
        </w:rPr>
        <w:t>/api/tacos</w:t>
      </w:r>
      <w:r>
        <w:t>.</w:t>
      </w:r>
    </w:p>
    <w:p w14:paraId="2741C6D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filtros individuales y combinados, validación de límites de tamaño de página y verificación de no filtrado en memoria.</w:t>
      </w:r>
    </w:p>
    <w:p w14:paraId="2176DF15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TC-20: Taco del día determinista y comprobable</w:t>
      </w:r>
    </w:p>
    <w:p w14:paraId="6858F77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TC-17, TC-19 recomendados</w:t>
      </w:r>
    </w:p>
    <w:p w14:paraId="3819FA4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tacocloud-api/.../web/api/TacoOfTheDayService.java</w:t>
      </w:r>
    </w:p>
    <w:p w14:paraId="57A3472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GET /api/tacos/today</w:t>
      </w:r>
      <w:r>
        <w:t xml:space="preserve"> $\rightarrow$ taco recomendado, fecha y razón.</w:t>
      </w:r>
    </w:p>
    <w:p w14:paraId="2DEDFA2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un algoritmo pseudoaleatorio determinista basado en el día juliano (</w:t>
      </w:r>
      <w:r>
        <w:rPr>
          <w:rFonts w:ascii="Consolas" w:hAnsi="Consolas"/>
          <w:color w:val="A31515"/>
        </w:rPr>
        <w:t>epochDay</w:t>
      </w:r>
      <w:r>
        <w:t xml:space="preserve">) e inyección de </w:t>
      </w:r>
      <w:r>
        <w:rPr>
          <w:rFonts w:ascii="Consolas" w:hAnsi="Consolas"/>
          <w:color w:val="A31515"/>
        </w:rPr>
        <w:t>Clock</w:t>
      </w:r>
      <w:r>
        <w:t xml:space="preserve"> y </w:t>
      </w:r>
      <w:r>
        <w:rPr>
          <w:rFonts w:ascii="Consolas" w:hAnsi="Consolas"/>
          <w:color w:val="A31515"/>
        </w:rPr>
        <w:t>ZoneId</w:t>
      </w:r>
      <w:r>
        <w:t>. Todas las instancias en la misma fecha recomiendan exactamente el mismo taco disponible sin persistir tacos nuevos por consulta ni depender de la hora del sistema operativo.</w:t>
      </w:r>
    </w:p>
    <w:p w14:paraId="1DA1EF6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con </w:t>
      </w:r>
      <w:r>
        <w:rPr>
          <w:rFonts w:ascii="Consolas" w:hAnsi="Consolas"/>
          <w:color w:val="A31515"/>
        </w:rPr>
        <w:t>FixedClock</w:t>
      </w:r>
      <w:r>
        <w:t xml:space="preserve"> para múltiples fechas confirmando determinismo y exclusión de tacos sin stock.</w:t>
      </w:r>
    </w:p>
    <w:p w14:paraId="686AF2D9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TC-21: Favoritos por usuario sin confiar en userId del cliente</w:t>
      </w:r>
    </w:p>
    <w:p w14:paraId="69F36F4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TC-10, TC-11, TC-19</w:t>
      </w:r>
    </w:p>
    <w:p w14:paraId="3B001D8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tacocloud-api/.../favorites/FavoriteService.java</w:t>
      </w:r>
      <w:r>
        <w:t xml:space="preserve">, </w:t>
      </w:r>
      <w:r>
        <w:rPr>
          <w:rFonts w:ascii="Consolas" w:hAnsi="Consolas"/>
          <w:color w:val="A31515"/>
        </w:rPr>
        <w:t>FavoriteTaco.java</w:t>
      </w:r>
      <w:r>
        <w:t xml:space="preserve">, </w:t>
      </w:r>
      <w:r>
        <w:rPr>
          <w:rFonts w:ascii="Consolas" w:hAnsi="Consolas"/>
          <w:color w:val="A31515"/>
        </w:rPr>
        <w:t>FavoriteRepository.java</w:t>
      </w:r>
    </w:p>
    <w:p w14:paraId="0E7A9D9E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PUT/DELETE /api/users/me/favorites/{tacoId}</w:t>
      </w:r>
      <w:r>
        <w:t xml:space="preserve">, </w:t>
      </w:r>
      <w:r>
        <w:rPr>
          <w:rFonts w:ascii="Consolas" w:hAnsi="Consolas"/>
          <w:color w:val="A31515"/>
        </w:rPr>
        <w:t>GET /api/users/me/favorites</w:t>
      </w:r>
      <w:r>
        <w:t>.</w:t>
      </w:r>
    </w:p>
    <w:p w14:paraId="10FD5F6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creó la colección reactiva </w:t>
      </w:r>
      <w:r>
        <w:rPr>
          <w:rFonts w:ascii="Consolas" w:hAnsi="Consolas"/>
          <w:color w:val="A31515"/>
        </w:rPr>
        <w:t>favorites</w:t>
      </w:r>
      <w:r>
        <w:t xml:space="preserve"> con índice único compuesto </w:t>
      </w:r>
      <w:r>
        <w:rPr>
          <w:rFonts w:ascii="Consolas" w:hAnsi="Consolas"/>
          <w:color w:val="A31515"/>
        </w:rPr>
        <w:t>userId + tacoId</w:t>
      </w:r>
      <w:r>
        <w:t xml:space="preserve">. El </w:t>
      </w:r>
      <w:r>
        <w:rPr>
          <w:rFonts w:ascii="Consolas" w:hAnsi="Consolas"/>
          <w:color w:val="A31515"/>
        </w:rPr>
        <w:t>userId</w:t>
      </w:r>
      <w:r>
        <w:t xml:space="preserve"> se obtiene directamente del </w:t>
      </w:r>
      <w:r>
        <w:rPr>
          <w:rFonts w:ascii="Consolas" w:hAnsi="Consolas"/>
          <w:color w:val="A31515"/>
        </w:rPr>
        <w:t>Principal</w:t>
      </w:r>
      <w:r>
        <w:t xml:space="preserve"> autenticado, impidiendo que el cliente suplante identidades. </w:t>
      </w:r>
      <w:r>
        <w:rPr>
          <w:rFonts w:ascii="Consolas" w:hAnsi="Consolas"/>
          <w:color w:val="A31515"/>
        </w:rPr>
        <w:t>PUT</w:t>
      </w:r>
      <w:r>
        <w:t xml:space="preserve"> agrega de forma idempotente, </w:t>
      </w:r>
      <w:r>
        <w:rPr>
          <w:rFonts w:ascii="Consolas" w:hAnsi="Consolas"/>
          <w:color w:val="A31515"/>
        </w:rPr>
        <w:t>DELETE</w:t>
      </w:r>
      <w:r>
        <w:t xml:space="preserve"> remueve y </w:t>
      </w:r>
      <w:r>
        <w:rPr>
          <w:rFonts w:ascii="Consolas" w:hAnsi="Consolas"/>
          <w:color w:val="A31515"/>
        </w:rPr>
        <w:t>GET</w:t>
      </w:r>
      <w:r>
        <w:t xml:space="preserve"> lista paginada de favoritos del usuario en sesión.</w:t>
      </w:r>
    </w:p>
    <w:p w14:paraId="63411A2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concurrencia de índice único y pruebas de aislamiento estricto entre usuarios A y B.</w:t>
      </w:r>
    </w:p>
    <w:p w14:paraId="5395250E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TC-22: Calificaciones y ranking de tacos</w:t>
      </w:r>
    </w:p>
    <w:p w14:paraId="1BBB709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TC-11, TC-19</w:t>
      </w:r>
    </w:p>
    <w:p w14:paraId="00DB16E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tacocloud-api/.../ratings/TacoRatingService.java</w:t>
      </w:r>
      <w:r>
        <w:t xml:space="preserve">, </w:t>
      </w:r>
      <w:r>
        <w:rPr>
          <w:rFonts w:ascii="Consolas" w:hAnsi="Consolas"/>
          <w:color w:val="A31515"/>
        </w:rPr>
        <w:t>TacoRating.java</w:t>
      </w:r>
    </w:p>
    <w:p w14:paraId="700AE27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PUT /api/tacos/{id}/rating</w:t>
      </w:r>
      <w:r>
        <w:t xml:space="preserve"> (score 1-5), </w:t>
      </w:r>
      <w:r>
        <w:rPr>
          <w:rFonts w:ascii="Consolas" w:hAnsi="Consolas"/>
          <w:color w:val="A31515"/>
        </w:rPr>
        <w:t>GET /api/tacos/top?limit=10</w:t>
      </w:r>
      <w:r>
        <w:t>.</w:t>
      </w:r>
    </w:p>
    <w:p w14:paraId="6C9F497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Sistema de calificación con índice único compuesto </w:t>
      </w:r>
      <w:r>
        <w:rPr>
          <w:rFonts w:ascii="Consolas" w:hAnsi="Consolas"/>
          <w:color w:val="A31515"/>
        </w:rPr>
        <w:t>userId + tacoId</w:t>
      </w:r>
      <w:r>
        <w:t xml:space="preserve">. </w:t>
      </w:r>
      <w:r>
        <w:rPr>
          <w:rFonts w:ascii="Consolas" w:hAnsi="Consolas"/>
          <w:color w:val="A31515"/>
        </w:rPr>
        <w:t>PUT</w:t>
      </w:r>
      <w:r>
        <w:t xml:space="preserve"> actualiza el voto del usuario sin inflar el conteo total de calificaciones. Se construyó una canalización de agregación reactiva en MongoDB para calcular promedios, cantidad de votos y top N con filtro de umbral mínimo de votos configurable para evitar sesgos de muestra pequeña.</w:t>
      </w:r>
    </w:p>
    <w:p w14:paraId="35D3770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actualización de calificación, rechazo de scores fuera de rango (1 a 5) y ranking ponderado.</w:t>
      </w:r>
    </w:p>
    <w:p w14:paraId="0C897AE5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TC-23: Historial paginado y privado de órdenes</w:t>
      </w:r>
    </w:p>
    <w:p w14:paraId="113C5DA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TC-11, TC-14</w:t>
      </w:r>
    </w:p>
    <w:p w14:paraId="53E103C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tacocloud-api/.../web/api/OrderApiController.java</w:t>
      </w:r>
      <w:r>
        <w:t xml:space="preserve">, </w:t>
      </w:r>
      <w:r>
        <w:rPr>
          <w:rFonts w:ascii="Consolas" w:hAnsi="Consolas"/>
          <w:color w:val="A31515"/>
        </w:rPr>
        <w:t>OrderRepository.java</w:t>
      </w:r>
    </w:p>
    <w:p w14:paraId="7A5A4FF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GET /api/users/me/orders?page=&amp;size=</w:t>
      </w:r>
      <w:r>
        <w:t xml:space="preserve">, </w:t>
      </w:r>
      <w:r>
        <w:rPr>
          <w:rFonts w:ascii="Consolas" w:hAnsi="Consolas"/>
          <w:color w:val="A31515"/>
        </w:rPr>
        <w:t>GET /api/users/me/orders/{id}</w:t>
      </w:r>
      <w:r>
        <w:t>.</w:t>
      </w:r>
    </w:p>
    <w:p w14:paraId="75BAA7C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sustituyó la consulta global no filtrada por endpoints de usuario autenticado (</w:t>
      </w:r>
      <w:r>
        <w:rPr>
          <w:rFonts w:ascii="Consolas" w:hAnsi="Consolas"/>
          <w:color w:val="A31515"/>
        </w:rPr>
        <w:t>/api/users/me/orders</w:t>
      </w:r>
      <w:r>
        <w:t xml:space="preserve">) con paginación y ordenamiento descendente por </w:t>
      </w:r>
      <w:r>
        <w:rPr>
          <w:rFonts w:ascii="Consolas" w:hAnsi="Consolas"/>
          <w:color w:val="A31515"/>
        </w:rPr>
        <w:t>placedAt</w:t>
      </w:r>
      <w:r>
        <w:t xml:space="preserve">. Las consultas se filtran por </w:t>
      </w:r>
      <w:r>
        <w:rPr>
          <w:rFonts w:ascii="Consolas" w:hAnsi="Consolas"/>
          <w:color w:val="A31515"/>
        </w:rPr>
        <w:t>userId</w:t>
      </w:r>
      <w:r>
        <w:t xml:space="preserve"> autenticado a nivel de base de datos para neutralizar vulnerabilidades IDOR. DTOs seguros excluyen datos de pago.</w:t>
      </w:r>
    </w:p>
    <w:p w14:paraId="14C41AB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aislamiento entre usuarios y verificación de formato DTO seguro sin datos confidenciales.</w:t>
      </w:r>
    </w:p>
    <w:p w14:paraId="4240F38F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TC-24: Reordenar una compra anterior con reglas actuales</w:t>
      </w:r>
    </w:p>
    <w:p w14:paraId="50CC871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TC-14, TC-16, TC-23</w:t>
      </w:r>
    </w:p>
    <w:p w14:paraId="51669A6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tacocloud-api/.../reorder/ReorderService.java</w:t>
      </w:r>
    </w:p>
    <w:p w14:paraId="683D30B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POST /api/orders/{id}/reorder</w:t>
      </w:r>
      <w:r>
        <w:t xml:space="preserve"> con selección de método de pago.</w:t>
      </w:r>
    </w:p>
    <w:p w14:paraId="0E8390A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Endpoint que toma una orden histórica propia y la somete al ciclo de vida de una orden nueva: revalida reglas de Taco Physics, disponibilidad en catálogo, cálculo de precios </w:t>
      </w:r>
      <w:r>
        <w:lastRenderedPageBreak/>
        <w:t>vigentes y reserva de stock. La orden original permanece inmutable y la nueva orden recibe un ID, fecha y estado independientes.</w:t>
      </w:r>
    </w:p>
    <w:p w14:paraId="6851809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que validan la creación de una nueva identidad, aplicación de precios actualizados y rechazo ante ingredientes agotados.</w:t>
      </w:r>
    </w:p>
    <w:p w14:paraId="19BF92A7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6569CA10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5 — Cocina y Mensajería Confiable</w:t>
      </w:r>
    </w:p>
    <w:p w14:paraId="2679A6E6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Evolucionar de "mandé un mensaje" a un flujo trazable, idempotente y recuperable.</w:t>
      </w:r>
    </w:p>
    <w:p w14:paraId="24048C4A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TC-25: Flujo de estados de una orden</w:t>
      </w:r>
    </w:p>
    <w:p w14:paraId="5D86B85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TC-08, TC-09, TC-11</w:t>
      </w:r>
    </w:p>
    <w:p w14:paraId="145ACA0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tacocloud-domain-mongodb/.../OrderStatus.java</w:t>
      </w:r>
      <w:r>
        <w:t xml:space="preserve">, </w:t>
      </w:r>
      <w:r>
        <w:rPr>
          <w:rFonts w:ascii="Consolas" w:hAnsi="Consolas"/>
          <w:color w:val="A31515"/>
        </w:rPr>
        <w:t>tacocloud-api/.../statemachine/OrderStateMachine.java</w:t>
      </w:r>
    </w:p>
    <w:p w14:paraId="7A065CD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PATCH /api/orders/{id}/status</w:t>
      </w:r>
      <w:r>
        <w:t xml:space="preserve"> y </w:t>
      </w:r>
      <w:r>
        <w:rPr>
          <w:rFonts w:ascii="Consolas" w:hAnsi="Consolas"/>
          <w:color w:val="A31515"/>
        </w:rPr>
        <w:t>POST /api/orders/{id}/cancel</w:t>
      </w:r>
      <w:r>
        <w:t>.</w:t>
      </w:r>
    </w:p>
    <w:p w14:paraId="61258C0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una máquina de estados explícita: </w:t>
      </w:r>
      <w:r>
        <w:rPr>
          <w:rFonts w:ascii="Consolas" w:hAnsi="Consolas"/>
          <w:color w:val="A31515"/>
        </w:rPr>
        <w:t>CREATED</w:t>
      </w:r>
      <w:r>
        <w:t xml:space="preserve"> $\rightarrow$ </w:t>
      </w:r>
      <w:r>
        <w:rPr>
          <w:rFonts w:ascii="Consolas" w:hAnsi="Consolas"/>
          <w:color w:val="A31515"/>
        </w:rPr>
        <w:t>CONFIRMED</w:t>
      </w:r>
      <w:r>
        <w:t xml:space="preserve"> $\rightarrow$ </w:t>
      </w:r>
      <w:r>
        <w:rPr>
          <w:rFonts w:ascii="Consolas" w:hAnsi="Consolas"/>
          <w:color w:val="A31515"/>
        </w:rPr>
        <w:t>PREPARING</w:t>
      </w:r>
      <w:r>
        <w:t xml:space="preserve"> $\rightarrow$ </w:t>
      </w:r>
      <w:r>
        <w:rPr>
          <w:rFonts w:ascii="Consolas" w:hAnsi="Consolas"/>
          <w:color w:val="A31515"/>
        </w:rPr>
        <w:t>READY</w:t>
      </w:r>
      <w:r>
        <w:t xml:space="preserve"> $\rightarrow$ </w:t>
      </w:r>
      <w:r>
        <w:rPr>
          <w:rFonts w:ascii="Consolas" w:hAnsi="Consolas"/>
          <w:color w:val="A31515"/>
        </w:rPr>
        <w:t>DELIVERING</w:t>
      </w:r>
      <w:r>
        <w:t xml:space="preserve"> $\rightarrow$ </w:t>
      </w:r>
      <w:r>
        <w:rPr>
          <w:rFonts w:ascii="Consolas" w:hAnsi="Consolas"/>
          <w:color w:val="A31515"/>
        </w:rPr>
        <w:t>DELIVERED</w:t>
      </w:r>
      <w:r>
        <w:t xml:space="preserve"> y </w:t>
      </w:r>
      <w:r>
        <w:rPr>
          <w:rFonts w:ascii="Consolas" w:hAnsi="Consolas"/>
          <w:color w:val="A31515"/>
        </w:rPr>
        <w:t>CANCELLED</w:t>
      </w:r>
      <w:r>
        <w:t xml:space="preserve">. Se definió una matriz de transiciones válidas y permisos por rol (cocina para preparación, cliente para cancelación previa a preparación). Se incluyó control de concurrencia optimista con </w:t>
      </w:r>
      <w:r>
        <w:rPr>
          <w:rFonts w:ascii="Consolas" w:hAnsi="Consolas"/>
          <w:color w:val="A31515"/>
        </w:rPr>
        <w:t>@Version</w:t>
      </w:r>
      <w:r>
        <w:t xml:space="preserve"> e historial auditable de transiciones.</w:t>
      </w:r>
    </w:p>
    <w:p w14:paraId="787B0C5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parametrizadas de la matriz de transiciones, rechazo de saltos inválidos (ej. CONFIRMED a DELIVERED) con 400 Bad Request y control de roles.</w:t>
      </w:r>
    </w:p>
    <w:p w14:paraId="239641B9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TC-26: Cola de cocina, claim atómico y tiempo estimado</w:t>
      </w:r>
    </w:p>
    <w:p w14:paraId="56642C4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TC-16, TC-25</w:t>
      </w:r>
    </w:p>
    <w:p w14:paraId="5C04547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tacocloud-kitchen/.../KitchenApiController.java</w:t>
      </w:r>
      <w:r>
        <w:t xml:space="preserve">, </w:t>
      </w:r>
      <w:r>
        <w:rPr>
          <w:rFonts w:ascii="Consolas" w:hAnsi="Consolas"/>
          <w:color w:val="A31515"/>
        </w:rPr>
        <w:t>KitchenQueueService.java</w:t>
      </w:r>
    </w:p>
    <w:p w14:paraId="2D2A73C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GET /api/kitchen/queue</w:t>
      </w:r>
      <w:r>
        <w:t xml:space="preserve">, </w:t>
      </w:r>
      <w:r>
        <w:rPr>
          <w:rFonts w:ascii="Consolas" w:hAnsi="Consolas"/>
          <w:color w:val="A31515"/>
        </w:rPr>
        <w:t>POST /api/kitchen/orders/claim</w:t>
      </w:r>
      <w:r>
        <w:t>.</w:t>
      </w:r>
    </w:p>
    <w:p w14:paraId="50A7E1B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Cola FIFO de órdenes pendientes en cocina. Reclamo atómico mediante </w:t>
      </w:r>
      <w:r>
        <w:rPr>
          <w:rFonts w:ascii="Consolas" w:hAnsi="Consolas"/>
          <w:color w:val="A31515"/>
        </w:rPr>
        <w:t>findAndModify</w:t>
      </w:r>
      <w:r>
        <w:t xml:space="preserve"> condicionado a estado </w:t>
      </w:r>
      <w:r>
        <w:rPr>
          <w:rFonts w:ascii="Consolas" w:hAnsi="Consolas"/>
          <w:color w:val="A31515"/>
        </w:rPr>
        <w:t>CONFIRMED</w:t>
      </w:r>
      <w:r>
        <w:t>, asignando chef (</w:t>
      </w:r>
      <w:r>
        <w:rPr>
          <w:rFonts w:ascii="Consolas" w:hAnsi="Consolas"/>
          <w:color w:val="A31515"/>
        </w:rPr>
        <w:t>claimedBy</w:t>
      </w:r>
      <w:r>
        <w:t xml:space="preserve">) y avanzando a </w:t>
      </w:r>
      <w:r>
        <w:rPr>
          <w:rFonts w:ascii="Consolas" w:hAnsi="Consolas"/>
          <w:color w:val="A31515"/>
        </w:rPr>
        <w:t>PREPARING</w:t>
      </w:r>
      <w:r>
        <w:t>. Si dos chefs reclaman concurrentemente la misma orden, uno obtiene 200 OK y el otro 409 Conflict. Se calcula el tiempo estimado de preparación (</w:t>
      </w:r>
      <w:r>
        <w:rPr>
          <w:rFonts w:ascii="Consolas" w:hAnsi="Consolas"/>
          <w:color w:val="A31515"/>
        </w:rPr>
        <w:t>estimatedPrepMinutes</w:t>
      </w:r>
      <w:r>
        <w:t>) según la carga de trabajo en cola.</w:t>
      </w:r>
    </w:p>
    <w:p w14:paraId="538A4C0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concurrencia simulando dos chefs compitiendo por la misma orden y verificación del cálculo de ETA.</w:t>
      </w:r>
    </w:p>
    <w:p w14:paraId="7B942ECA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TC-27: Contrato único de eventos de orden</w:t>
      </w:r>
    </w:p>
    <w:p w14:paraId="7ED3F1B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TC-08, TC-12, TC-25</w:t>
      </w:r>
    </w:p>
    <w:p w14:paraId="23EC0C50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tacocloud-domain-mongodb/.../events/OrderEvent.java</w:t>
      </w:r>
      <w:r>
        <w:t xml:space="preserve">, </w:t>
      </w:r>
      <w:r>
        <w:rPr>
          <w:rFonts w:ascii="Consolas" w:hAnsi="Consolas"/>
          <w:color w:val="A31515"/>
        </w:rPr>
        <w:t>OrderEventType.java</w:t>
      </w:r>
    </w:p>
    <w:p w14:paraId="31A11A0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Evento canónico JSON versionado para </w:t>
      </w:r>
      <w:r>
        <w:rPr>
          <w:rFonts w:ascii="Consolas" w:hAnsi="Consolas"/>
          <w:color w:val="A31515"/>
        </w:rPr>
        <w:t>ORDER_CREATED</w:t>
      </w:r>
      <w:r>
        <w:t xml:space="preserve">, </w:t>
      </w:r>
      <w:r>
        <w:rPr>
          <w:rFonts w:ascii="Consolas" w:hAnsi="Consolas"/>
          <w:color w:val="A31515"/>
        </w:rPr>
        <w:t>STATUS_CHANGED</w:t>
      </w:r>
      <w:r>
        <w:t xml:space="preserve">, </w:t>
      </w:r>
      <w:r>
        <w:rPr>
          <w:rFonts w:ascii="Consolas" w:hAnsi="Consolas"/>
          <w:color w:val="A31515"/>
        </w:rPr>
        <w:t>ORDER_CANCELLED</w:t>
      </w:r>
      <w:r>
        <w:t>.</w:t>
      </w:r>
    </w:p>
    <w:p w14:paraId="0C70448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unificó el contrato de mensajería utilizado por los adaptadores JMS, RabbitMQ y Kafka. El evento incluye </w:t>
      </w:r>
      <w:r>
        <w:rPr>
          <w:rFonts w:ascii="Consolas" w:hAnsi="Consolas"/>
          <w:color w:val="A31515"/>
        </w:rPr>
        <w:t>eventId</w:t>
      </w:r>
      <w:r>
        <w:t xml:space="preserve"> (UUID), </w:t>
      </w:r>
      <w:r>
        <w:rPr>
          <w:rFonts w:ascii="Consolas" w:hAnsi="Consolas"/>
          <w:color w:val="A31515"/>
        </w:rPr>
        <w:t>eventType</w:t>
      </w:r>
      <w:r>
        <w:t xml:space="preserve">, </w:t>
      </w:r>
      <w:r>
        <w:rPr>
          <w:rFonts w:ascii="Consolas" w:hAnsi="Consolas"/>
          <w:color w:val="A31515"/>
        </w:rPr>
        <w:t>version</w:t>
      </w:r>
      <w:r>
        <w:t xml:space="preserve">, </w:t>
      </w:r>
      <w:r>
        <w:rPr>
          <w:rFonts w:ascii="Consolas" w:hAnsi="Consolas"/>
          <w:color w:val="A31515"/>
        </w:rPr>
        <w:t>occurredAt</w:t>
      </w:r>
      <w:r>
        <w:t xml:space="preserve">, </w:t>
      </w:r>
      <w:r>
        <w:rPr>
          <w:rFonts w:ascii="Consolas" w:hAnsi="Consolas"/>
          <w:color w:val="A31515"/>
        </w:rPr>
        <w:t>correlationId</w:t>
      </w:r>
      <w:r>
        <w:t xml:space="preserve"> y un payload seguro con la información esencial de la orden sin exponer clases internas de base de datos ni datos de pago.</w:t>
      </w:r>
    </w:p>
    <w:p w14:paraId="4A01BB8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serialización/deserialización confirmando la ausencia de datos sensibles y compatibilidad de campos adicionales.</w:t>
      </w:r>
    </w:p>
    <w:p w14:paraId="3F84AECB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TC-28: Elegir broker en runtime, no editando el POM</w:t>
      </w:r>
    </w:p>
    <w:p w14:paraId="60327FC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TC-27</w:t>
      </w:r>
    </w:p>
    <w:p w14:paraId="0C5CF3E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tacocloud-api/.../messaging/DynamicOrderMessagingRouter.java</w:t>
      </w:r>
      <w:r>
        <w:t xml:space="preserve">, </w:t>
      </w:r>
      <w:r>
        <w:rPr>
          <w:rFonts w:ascii="Consolas" w:hAnsi="Consolas"/>
          <w:color w:val="A31515"/>
        </w:rPr>
        <w:t>application.yml</w:t>
      </w:r>
    </w:p>
    <w:p w14:paraId="65067D8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Propiedad </w:t>
      </w:r>
      <w:r>
        <w:rPr>
          <w:rFonts w:ascii="Consolas" w:hAnsi="Consolas"/>
          <w:color w:val="A31515"/>
        </w:rPr>
        <w:t>tacocloud.messaging.transport=noop|jms|rabbit|kafka</w:t>
      </w:r>
      <w:r>
        <w:t xml:space="preserve"> y endpoint de conmutación.</w:t>
      </w:r>
    </w:p>
    <w:p w14:paraId="450A60E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construyó un enrutador dinámico (</w:t>
      </w:r>
      <w:r>
        <w:rPr>
          <w:rFonts w:ascii="Consolas" w:hAnsi="Consolas"/>
          <w:color w:val="A31515"/>
        </w:rPr>
        <w:t>DynamicOrderMessagingRouter</w:t>
      </w:r>
      <w:r>
        <w:t>) que inyecta todos los adaptadores de mensajería disponibles y selecciona el transporte activo según la propiedad externa de configuración o dinámicamente en caliente vía API administrativa, eliminando la necesidad de comentar o descomentar dependencias en los archivos POM.</w:t>
      </w:r>
    </w:p>
    <w:p w14:paraId="3A33AAD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de enrutamiento verificando el despacho al broker activo y la conmutación en caliente.</w:t>
      </w:r>
    </w:p>
    <w:p w14:paraId="6B2D29A1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TC-29: Outbox transaccional para no perder órdenes</w:t>
      </w:r>
    </w:p>
    <w:p w14:paraId="3EA3028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TC-25, TC-27, TC-28</w:t>
      </w:r>
    </w:p>
    <w:p w14:paraId="0EA56E7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tacocloud-api/.../outbox/OrderOutboxService.java</w:t>
      </w:r>
      <w:r>
        <w:t xml:space="preserve">, </w:t>
      </w:r>
      <w:r>
        <w:rPr>
          <w:rFonts w:ascii="Consolas" w:hAnsi="Consolas"/>
          <w:color w:val="A31515"/>
        </w:rPr>
        <w:t>OutboxEvent.java</w:t>
      </w:r>
    </w:p>
    <w:p w14:paraId="7B8C324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Guardado local de la orden y del registro Outbox en estado </w:t>
      </w:r>
      <w:r>
        <w:rPr>
          <w:rFonts w:ascii="Consolas" w:hAnsi="Consolas"/>
          <w:color w:val="A31515"/>
        </w:rPr>
        <w:t>PENDING</w:t>
      </w:r>
      <w:r>
        <w:t>. Relay asíncrono a broker.</w:t>
      </w:r>
    </w:p>
    <w:p w14:paraId="4C72E16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el patrón </w:t>
      </w:r>
      <w:r>
        <w:rPr>
          <w:i/>
        </w:rPr>
        <w:t>Transactional Outbox</w:t>
      </w:r>
      <w:r>
        <w:t xml:space="preserve">. Al crear o cancelar una orden, se persiste atómicamente el documento </w:t>
      </w:r>
      <w:r>
        <w:rPr>
          <w:rFonts w:ascii="Consolas" w:hAnsi="Consolas"/>
          <w:color w:val="A31515"/>
        </w:rPr>
        <w:t>OutboxEvent</w:t>
      </w:r>
      <w:r>
        <w:t xml:space="preserve"> en MongoDB con estado </w:t>
      </w:r>
      <w:r>
        <w:rPr>
          <w:rFonts w:ascii="Consolas" w:hAnsi="Consolas"/>
          <w:color w:val="A31515"/>
        </w:rPr>
        <w:t>PENDING</w:t>
      </w:r>
      <w:r>
        <w:t xml:space="preserve">. Un worker programado recupera los eventos pendientes y los despacha al broker activo, actualizando su estado a </w:t>
      </w:r>
      <w:r>
        <w:rPr>
          <w:rFonts w:ascii="Consolas" w:hAnsi="Consolas"/>
          <w:color w:val="A31515"/>
        </w:rPr>
        <w:t>PUBLISHED</w:t>
      </w:r>
      <w:r>
        <w:t>. Si el broker falla, la solicitud HTTP responde exitosamente (201 Created) y el evento se reintenta automáticamente.</w:t>
      </w:r>
    </w:p>
    <w:p w14:paraId="6E3F25F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simulación de caída del broker donde la orden HTTP tiene éxito y el evento se despacha tras el restablecimiento del servicio.</w:t>
      </w:r>
    </w:p>
    <w:p w14:paraId="07A0F30A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TC-30: Consumidor idempotente, retry limitado y DLQ</w:t>
      </w:r>
    </w:p>
    <w:p w14:paraId="44988CD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TC-25, TC-27, TC-29</w:t>
      </w:r>
    </w:p>
    <w:p w14:paraId="2B5FF584" w14:textId="77777777" w:rsidR="006248E6" w:rsidRDefault="00000000" w:rsidP="00757407">
      <w:pPr>
        <w:spacing w:before="40" w:after="40"/>
        <w:ind w:left="360"/>
      </w:pPr>
      <w:r>
        <w:lastRenderedPageBreak/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tacocloud-kitchen/.../consumer/IdempotentOrderConsumerEngine.java</w:t>
      </w:r>
      <w:r>
        <w:t xml:space="preserve">, </w:t>
      </w:r>
      <w:r>
        <w:rPr>
          <w:rFonts w:ascii="Consolas" w:hAnsi="Consolas"/>
          <w:color w:val="A31515"/>
        </w:rPr>
        <w:t>DeadLetterQueueService.java</w:t>
      </w:r>
    </w:p>
    <w:p w14:paraId="1B5A8187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Deduplicación de eventos por </w:t>
      </w:r>
      <w:r>
        <w:rPr>
          <w:rFonts w:ascii="Consolas" w:hAnsi="Consolas"/>
          <w:color w:val="A31515"/>
        </w:rPr>
        <w:t>eventId</w:t>
      </w:r>
      <w:r>
        <w:t>; reintentos acotados (3 intentos) y desvío a DLQ.</w:t>
      </w:r>
    </w:p>
    <w:p w14:paraId="7A27D0D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Motor de consumo de cocina que registra </w:t>
      </w:r>
      <w:r>
        <w:rPr>
          <w:rFonts w:ascii="Consolas" w:hAnsi="Consolas"/>
          <w:color w:val="A31515"/>
        </w:rPr>
        <w:t>eventId</w:t>
      </w:r>
      <w:r>
        <w:t xml:space="preserve"> en un índice único para omitir entregas duplicadas sin repetir la preparación (</w:t>
      </w:r>
      <w:r>
        <w:rPr>
          <w:rFonts w:ascii="Consolas" w:hAnsi="Consolas"/>
          <w:color w:val="A31515"/>
        </w:rPr>
        <w:t>DUPLICATE_SKIPPED</w:t>
      </w:r>
      <w:r>
        <w:t>). Los fallos transitorios se reintentan hasta un máximo de 3 intentos; ante fallos permanentes, el mensaje se desvía a la Dead Letter Queue (</w:t>
      </w:r>
      <w:r>
        <w:rPr>
          <w:rFonts w:ascii="Consolas" w:hAnsi="Consolas"/>
          <w:color w:val="A31515"/>
        </w:rPr>
        <w:t>DeadLetterStatus.DEAD_LETTER</w:t>
      </w:r>
      <w:r>
        <w:t>) con motivo de error y Correlation ID, habilitando reprocesamiento posterior vía API de replay.</w:t>
      </w:r>
    </w:p>
    <w:p w14:paraId="648395C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re-entrega idéntica, ruteo a DLQ tras 3 reintentos fallidos y replay exitoso de mensajes corregidos.</w:t>
      </w:r>
    </w:p>
    <w:p w14:paraId="2716E79D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34C03B77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Laboratorio 6 — Operación y Calidad</w:t>
      </w:r>
    </w:p>
    <w:p w14:paraId="4DB61E5E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Objetivo: Añadir observabilidad, contratos, idempotencia HTTP y pruebas de integración útiles.</w:t>
      </w:r>
    </w:p>
    <w:p w14:paraId="5EB7E9B1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TC-31: Correlation ID de HTTP a evento y logs</w:t>
      </w:r>
    </w:p>
    <w:p w14:paraId="508D1A92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TC-27 recomendado</w:t>
      </w:r>
    </w:p>
    <w:p w14:paraId="504122C3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tacocloud-api/.../correlation/CorrelationIdFilter.java</w:t>
      </w:r>
      <w:r>
        <w:t xml:space="preserve">, </w:t>
      </w:r>
      <w:r>
        <w:rPr>
          <w:rFonts w:ascii="Consolas" w:hAnsi="Consolas"/>
          <w:color w:val="A31515"/>
        </w:rPr>
        <w:t>CorrelationIdContext.java</w:t>
      </w:r>
    </w:p>
    <w:p w14:paraId="6DDF76D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Cabecera HTTP </w:t>
      </w:r>
      <w:r>
        <w:rPr>
          <w:rFonts w:ascii="Consolas" w:hAnsi="Consolas"/>
          <w:color w:val="A31515"/>
        </w:rPr>
        <w:t>X-Correlation-ID</w:t>
      </w:r>
      <w:r>
        <w:t xml:space="preserve"> en peticiones y respuestas; campo obligatorio en eventos.</w:t>
      </w:r>
    </w:p>
    <w:p w14:paraId="30E00F4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creó un filtro reactivo (</w:t>
      </w:r>
      <w:r>
        <w:rPr>
          <w:rFonts w:ascii="Consolas" w:hAnsi="Consolas"/>
          <w:color w:val="A31515"/>
        </w:rPr>
        <w:t>CorrelationIdFilter</w:t>
      </w:r>
      <w:r>
        <w:t xml:space="preserve">) que captura el header </w:t>
      </w:r>
      <w:r>
        <w:rPr>
          <w:rFonts w:ascii="Consolas" w:hAnsi="Consolas"/>
          <w:color w:val="A31515"/>
        </w:rPr>
        <w:t>X-Correlation-ID</w:t>
      </w:r>
      <w:r>
        <w:t xml:space="preserve"> provisto por el cliente o genera un nuevo UUID. El identificador se propaga en el contexto inmutable de Project Reactor (</w:t>
      </w:r>
      <w:r>
        <w:rPr>
          <w:rFonts w:ascii="Consolas" w:hAnsi="Consolas"/>
          <w:color w:val="A31515"/>
        </w:rPr>
        <w:t>Context</w:t>
      </w:r>
      <w:r>
        <w:t>), se devuelve en las cabeceras de respuesta HTTP, se inyecta en el MDC para logs y se transmite en los eventos canónicos, en el Outbox y en la DLQ.</w:t>
      </w:r>
    </w:p>
    <w:p w14:paraId="1EB798A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preservación y generación de cabecera, propagación hacia eventos y limpieza de MDC tras completar la solicitud.</w:t>
      </w:r>
    </w:p>
    <w:p w14:paraId="0466E694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TC-32: Métricas y salud que explican el negocio</w:t>
      </w:r>
    </w:p>
    <w:p w14:paraId="7AA874EF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TC-16, TC-25, TC-29 recomendados</w:t>
      </w:r>
    </w:p>
    <w:p w14:paraId="2B9AE55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tacocloud-api/.../actuator/BusinessMetricsService.java</w:t>
      </w:r>
      <w:r>
        <w:t xml:space="preserve">, </w:t>
      </w:r>
      <w:r>
        <w:rPr>
          <w:rFonts w:ascii="Consolas" w:hAnsi="Consolas"/>
          <w:color w:val="A31515"/>
        </w:rPr>
        <w:t>OrdersHealthIndicator.java</w:t>
      </w:r>
      <w:r>
        <w:t xml:space="preserve">, </w:t>
      </w:r>
      <w:r>
        <w:rPr>
          <w:rFonts w:ascii="Consolas" w:hAnsi="Consolas"/>
          <w:color w:val="A31515"/>
        </w:rPr>
        <w:t>OutboxHealthIndicator.java</w:t>
      </w:r>
    </w:p>
    <w:p w14:paraId="705E1A3E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Exposición de métricas en Actuator con tags de baja cardinalidad.</w:t>
      </w:r>
    </w:p>
    <w:p w14:paraId="6521A73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instrumentó </w:t>
      </w:r>
      <w:r>
        <w:rPr>
          <w:rFonts w:ascii="Consolas" w:hAnsi="Consolas"/>
          <w:color w:val="A31515"/>
        </w:rPr>
        <w:t>MeterRegistry</w:t>
      </w:r>
      <w:r>
        <w:t xml:space="preserve"> con métricas de negocio reales: contadores </w:t>
      </w:r>
      <w:r>
        <w:rPr>
          <w:rFonts w:ascii="Consolas" w:hAnsi="Consolas"/>
          <w:color w:val="A31515"/>
        </w:rPr>
        <w:t>tacocloud.orders.placed</w:t>
      </w:r>
      <w:r>
        <w:t xml:space="preserve">, </w:t>
      </w:r>
      <w:r>
        <w:rPr>
          <w:rFonts w:ascii="Consolas" w:hAnsi="Consolas"/>
          <w:color w:val="A31515"/>
        </w:rPr>
        <w:t>tacocloud.orders.cancelled</w:t>
      </w:r>
      <w:r>
        <w:t xml:space="preserve">, </w:t>
      </w:r>
      <w:r>
        <w:rPr>
          <w:rFonts w:ascii="Consolas" w:hAnsi="Consolas"/>
          <w:color w:val="A31515"/>
        </w:rPr>
        <w:t>tacocloud.inventory.reserved</w:t>
      </w:r>
      <w:r>
        <w:t xml:space="preserve">, </w:t>
      </w:r>
      <w:r>
        <w:rPr>
          <w:rFonts w:ascii="Consolas" w:hAnsi="Consolas"/>
          <w:color w:val="A31515"/>
        </w:rPr>
        <w:t>tacocloud.inventory.failed</w:t>
      </w:r>
      <w:r>
        <w:t xml:space="preserve">, </w:t>
      </w:r>
      <w:r>
        <w:rPr>
          <w:rFonts w:ascii="Consolas" w:hAnsi="Consolas"/>
          <w:color w:val="A31515"/>
        </w:rPr>
        <w:t>tacocloud.outbox.enqueued</w:t>
      </w:r>
      <w:r>
        <w:t xml:space="preserve"> y </w:t>
      </w:r>
      <w:r>
        <w:rPr>
          <w:rFonts w:ascii="Consolas" w:hAnsi="Consolas"/>
          <w:color w:val="A31515"/>
        </w:rPr>
        <w:t>tacocloud.idempotency.hit</w:t>
      </w:r>
      <w:r>
        <w:t xml:space="preserve">. Se crearon </w:t>
      </w:r>
      <w:r>
        <w:rPr>
          <w:rFonts w:ascii="Consolas" w:hAnsi="Consolas"/>
          <w:color w:val="A31515"/>
        </w:rPr>
        <w:lastRenderedPageBreak/>
        <w:t>HealthIndicators</w:t>
      </w:r>
      <w:r>
        <w:t xml:space="preserve"> personalizados que reportan la saturación de cocina y la acumulación de mensajes pendientes en el Outbox.</w:t>
      </w:r>
    </w:p>
    <w:p w14:paraId="5719025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unitarias de contadores con </w:t>
      </w:r>
      <w:r>
        <w:rPr>
          <w:rFonts w:ascii="Consolas" w:hAnsi="Consolas"/>
          <w:color w:val="A31515"/>
        </w:rPr>
        <w:t>SimpleMeterRegistry</w:t>
      </w:r>
      <w:r>
        <w:t xml:space="preserve"> y verificación de etiquetas sin datos sensibles ni IDs de alta cardinalidad.</w:t>
      </w:r>
    </w:p>
    <w:p w14:paraId="757C564A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TC-33: Reemplazar Notes por anuncios operativos seguros</w:t>
      </w:r>
    </w:p>
    <w:p w14:paraId="3E07510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TC-11</w:t>
      </w:r>
    </w:p>
    <w:p w14:paraId="39BCC5B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tacocloud-api/.../actuator/OperationalAnnouncementsEndpoint.java</w:t>
      </w:r>
      <w:r>
        <w:t xml:space="preserve">, </w:t>
      </w:r>
      <w:r>
        <w:rPr>
          <w:rFonts w:ascii="Consolas" w:hAnsi="Consolas"/>
          <w:color w:val="A31515"/>
        </w:rPr>
        <w:t>OperationalAnnouncementsService.java</w:t>
      </w:r>
      <w:r>
        <w:t xml:space="preserve">, </w:t>
      </w:r>
      <w:r>
        <w:rPr>
          <w:rFonts w:ascii="Consolas" w:hAnsi="Consolas"/>
          <w:color w:val="A31515"/>
        </w:rPr>
        <w:t>OpsAnnouncementRepository.java</w:t>
      </w:r>
    </w:p>
    <w:p w14:paraId="19FA22ED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Endpoint </w:t>
      </w:r>
      <w:r>
        <w:rPr>
          <w:rFonts w:ascii="Consolas" w:hAnsi="Consolas"/>
          <w:color w:val="A31515"/>
        </w:rPr>
        <w:t>/actuator/announcements</w:t>
      </w:r>
      <w:r>
        <w:t xml:space="preserve"> y REST administrativo </w:t>
      </w:r>
      <w:r>
        <w:rPr>
          <w:rFonts w:ascii="Consolas" w:hAnsi="Consolas"/>
          <w:color w:val="A31515"/>
        </w:rPr>
        <w:t>/api/admin/announcements</w:t>
      </w:r>
      <w:r>
        <w:t>.</w:t>
      </w:r>
    </w:p>
    <w:p w14:paraId="2C1A93F9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reemplazó el endpoint volátil en memoria </w:t>
      </w:r>
      <w:r>
        <w:rPr>
          <w:rFonts w:ascii="Consolas" w:hAnsi="Consolas"/>
          <w:color w:val="A31515"/>
        </w:rPr>
        <w:t>NotesEndpoint</w:t>
      </w:r>
      <w:r>
        <w:t xml:space="preserve"> por un sistema persistente en MongoDB. Cada anuncio cuenta con ID UUID estable, severidad (</w:t>
      </w:r>
      <w:r>
        <w:rPr>
          <w:rFonts w:ascii="Consolas" w:hAnsi="Consolas"/>
          <w:color w:val="A31515"/>
        </w:rPr>
        <w:t>INFO</w:t>
      </w:r>
      <w:r>
        <w:t xml:space="preserve">, </w:t>
      </w:r>
      <w:r>
        <w:rPr>
          <w:rFonts w:ascii="Consolas" w:hAnsi="Consolas"/>
          <w:color w:val="A31515"/>
        </w:rPr>
        <w:t>WARNING</w:t>
      </w:r>
      <w:r>
        <w:t xml:space="preserve">, </w:t>
      </w:r>
      <w:r>
        <w:rPr>
          <w:rFonts w:ascii="Consolas" w:hAnsi="Consolas"/>
          <w:color w:val="A31515"/>
        </w:rPr>
        <w:t>CRITICAL</w:t>
      </w:r>
      <w:r>
        <w:t xml:space="preserve">), fecha de expiración y auditoría de autor. Los anuncios expirados se filtran automáticamente y las operaciones de creación y borrado están restringidas a </w:t>
      </w:r>
      <w:r>
        <w:rPr>
          <w:rFonts w:ascii="Consolas" w:hAnsi="Consolas"/>
          <w:color w:val="A31515"/>
        </w:rPr>
        <w:t>ROLE_ADMIN</w:t>
      </w:r>
      <w:r>
        <w:t>.</w:t>
      </w:r>
    </w:p>
    <w:p w14:paraId="12AB81F0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persistencia durable tras reinicio, eliminación por UUID y control de autorización.</w:t>
      </w:r>
    </w:p>
    <w:p w14:paraId="58A49CCB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TC-34: Idempotency-Key en creación de órdenes</w:t>
      </w:r>
    </w:p>
    <w:p w14:paraId="3E1FF1F6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TC-08, TC-09, TC-14</w:t>
      </w:r>
    </w:p>
    <w:p w14:paraId="6A92388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tacocloud-api/.../idempotency/OrderIdempotencyService.java</w:t>
      </w:r>
      <w:r>
        <w:t xml:space="preserve">, </w:t>
      </w:r>
      <w:r>
        <w:rPr>
          <w:rFonts w:ascii="Consolas" w:hAnsi="Consolas"/>
          <w:color w:val="A31515"/>
        </w:rPr>
        <w:t>IdempotencyRecord.java</w:t>
      </w:r>
    </w:p>
    <w:p w14:paraId="068F0B1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Cabecera HTTP </w:t>
      </w:r>
      <w:r>
        <w:rPr>
          <w:rFonts w:ascii="Consolas" w:hAnsi="Consolas"/>
          <w:color w:val="A31515"/>
        </w:rPr>
        <w:t>Idempotency-Key</w:t>
      </w:r>
      <w:r>
        <w:t xml:space="preserve"> en </w:t>
      </w:r>
      <w:r>
        <w:rPr>
          <w:rFonts w:ascii="Consolas" w:hAnsi="Consolas"/>
          <w:color w:val="A31515"/>
        </w:rPr>
        <w:t>POST /api/orders</w:t>
      </w:r>
      <w:r>
        <w:t>.</w:t>
      </w:r>
    </w:p>
    <w:p w14:paraId="38A9B48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el manejo de </w:t>
      </w:r>
      <w:r>
        <w:rPr>
          <w:rFonts w:ascii="Consolas" w:hAnsi="Consolas"/>
          <w:color w:val="A31515"/>
        </w:rPr>
        <w:t>Idempotency-Key</w:t>
      </w:r>
      <w:r>
        <w:t xml:space="preserve"> con persistencia en MongoDB e índice único compuesto </w:t>
      </w:r>
      <w:r>
        <w:rPr>
          <w:rFonts w:ascii="Consolas" w:hAnsi="Consolas"/>
          <w:color w:val="A31515"/>
        </w:rPr>
        <w:t>userId + idempotencyKey</w:t>
      </w:r>
      <w:r>
        <w:t xml:space="preserve">. Se computa un hash canónico SHA-256 del cuerpo de la orden. Solicitudes idénticas repetidas retornan la orden previamente creada con la cabecera </w:t>
      </w:r>
      <w:r>
        <w:rPr>
          <w:rFonts w:ascii="Consolas" w:hAnsi="Consolas"/>
          <w:color w:val="A31515"/>
        </w:rPr>
        <w:t>Idempotency-Replayed: true</w:t>
      </w:r>
      <w:r>
        <w:t xml:space="preserve"> (sin duplicar reservas ni outbox). Si se reutiliza la clave con un cuerpo diferente, se rechaza de inmediato con 409 Conflict.</w:t>
      </w:r>
    </w:p>
    <w:p w14:paraId="6180190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repetición secuencial, concurrencia simultánea, conflicto ante modificación de cuerpo y aislamiento de clave por usuario.</w:t>
      </w:r>
    </w:p>
    <w:p w14:paraId="0A4C1368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TC-35: Versionar la API y publicar contrato OpenAPI</w:t>
      </w:r>
    </w:p>
    <w:p w14:paraId="239140AB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Intermedio | </w:t>
      </w:r>
      <w:r>
        <w:rPr>
          <w:b/>
        </w:rPr>
        <w:t>Puntos:</w:t>
      </w:r>
      <w:r>
        <w:t xml:space="preserve"> 8 | </w:t>
      </w:r>
      <w:r>
        <w:rPr>
          <w:b/>
        </w:rPr>
        <w:t>Dependencias:</w:t>
      </w:r>
      <w:r>
        <w:t xml:space="preserve"> TC-08, TC-09</w:t>
      </w:r>
    </w:p>
    <w:p w14:paraId="166AA95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tacocloud-api/.../versioning/ApiVersioningWebFilter.java</w:t>
      </w:r>
      <w:r>
        <w:t xml:space="preserve">, </w:t>
      </w:r>
      <w:r>
        <w:rPr>
          <w:rFonts w:ascii="Consolas" w:hAnsi="Consolas"/>
          <w:color w:val="A31515"/>
        </w:rPr>
        <w:t>OrderApiV2Controller.java</w:t>
      </w:r>
      <w:r>
        <w:t xml:space="preserve">, </w:t>
      </w:r>
      <w:r>
        <w:rPr>
          <w:rFonts w:ascii="Consolas" w:hAnsi="Consolas"/>
          <w:color w:val="A31515"/>
        </w:rPr>
        <w:t>OpenApiContractService.java</w:t>
      </w:r>
      <w:r>
        <w:t xml:space="preserve">, </w:t>
      </w:r>
      <w:r>
        <w:rPr>
          <w:rFonts w:ascii="Consolas" w:hAnsi="Consolas"/>
          <w:color w:val="A31515"/>
        </w:rPr>
        <w:t>SwaggerUiController.java</w:t>
      </w:r>
    </w:p>
    <w:p w14:paraId="14EEC0C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</w:t>
      </w:r>
      <w:r>
        <w:rPr>
          <w:rFonts w:ascii="Consolas" w:hAnsi="Consolas"/>
          <w:color w:val="A31515"/>
        </w:rPr>
        <w:t>/api/v1/...</w:t>
      </w:r>
      <w:r>
        <w:t xml:space="preserve">, </w:t>
      </w:r>
      <w:r>
        <w:rPr>
          <w:rFonts w:ascii="Consolas" w:hAnsi="Consolas"/>
          <w:color w:val="A31515"/>
        </w:rPr>
        <w:t>/api/v2/...</w:t>
      </w:r>
      <w:r>
        <w:t xml:space="preserve">, </w:t>
      </w:r>
      <w:r>
        <w:rPr>
          <w:rFonts w:ascii="Consolas" w:hAnsi="Consolas"/>
          <w:color w:val="A31515"/>
        </w:rPr>
        <w:t>/api/versions</w:t>
      </w:r>
      <w:r>
        <w:t xml:space="preserve">, </w:t>
      </w:r>
      <w:r>
        <w:rPr>
          <w:rFonts w:ascii="Consolas" w:hAnsi="Consolas"/>
          <w:color w:val="A31515"/>
        </w:rPr>
        <w:t>/v3/api-docs</w:t>
      </w:r>
      <w:r>
        <w:t xml:space="preserve"> (JSON/YAML) y </w:t>
      </w:r>
      <w:r>
        <w:rPr>
          <w:rFonts w:ascii="Consolas" w:hAnsi="Consolas"/>
          <w:color w:val="A31515"/>
        </w:rPr>
        <w:t>/swagger-ui.html</w:t>
      </w:r>
      <w:r>
        <w:t>.</w:t>
      </w:r>
    </w:p>
    <w:p w14:paraId="2665594C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implementó una estrategia dual de versionado: URI (</w:t>
      </w:r>
      <w:r>
        <w:rPr>
          <w:rFonts w:ascii="Consolas" w:hAnsi="Consolas"/>
          <w:color w:val="A31515"/>
        </w:rPr>
        <w:t>/api/v1/orders</w:t>
      </w:r>
      <w:r>
        <w:t xml:space="preserve">, </w:t>
      </w:r>
      <w:r>
        <w:rPr>
          <w:rFonts w:ascii="Consolas" w:hAnsi="Consolas"/>
          <w:color w:val="A31515"/>
        </w:rPr>
        <w:t>/api/v2/orders</w:t>
      </w:r>
      <w:r>
        <w:t xml:space="preserve">), cabecera </w:t>
      </w:r>
      <w:r>
        <w:rPr>
          <w:rFonts w:ascii="Consolas" w:hAnsi="Consolas"/>
          <w:color w:val="A31515"/>
        </w:rPr>
        <w:t>X-API-Version</w:t>
      </w:r>
      <w:r>
        <w:t xml:space="preserve"> y </w:t>
      </w:r>
      <w:r>
        <w:rPr>
          <w:rFonts w:ascii="Consolas" w:hAnsi="Consolas"/>
          <w:color w:val="A31515"/>
        </w:rPr>
        <w:t>Accept</w:t>
      </w:r>
      <w:r>
        <w:t xml:space="preserve"> con fallback retrocompatible a v1 en </w:t>
      </w:r>
      <w:r>
        <w:rPr>
          <w:rFonts w:ascii="Consolas" w:hAnsi="Consolas"/>
          <w:color w:val="A31515"/>
        </w:rPr>
        <w:lastRenderedPageBreak/>
        <w:t>/api/...</w:t>
      </w:r>
      <w:r>
        <w:t>. Se inyectan encabezados de ciclo de vida (</w:t>
      </w:r>
      <w:r>
        <w:rPr>
          <w:rFonts w:ascii="Consolas" w:hAnsi="Consolas"/>
          <w:color w:val="A31515"/>
        </w:rPr>
        <w:t>Sunset</w:t>
      </w:r>
      <w:r>
        <w:t xml:space="preserve">). Se publicó el catálogo </w:t>
      </w:r>
      <w:r>
        <w:rPr>
          <w:rFonts w:ascii="Consolas" w:hAnsi="Consolas"/>
          <w:color w:val="A31515"/>
        </w:rPr>
        <w:t>/api/versions</w:t>
      </w:r>
      <w:r>
        <w:t>, el contrato formal OpenAPI 3.0.3 en JSON y YAML y una interfaz interactiva de Swagger UI v5.</w:t>
      </w:r>
    </w:p>
    <w:p w14:paraId="191F806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Pruebas de integración validando esquemas OpenAPI, coexistencia sin ruptura entre v1 y v2, y cabeceras de respuesta.</w:t>
      </w:r>
    </w:p>
    <w:p w14:paraId="688D569D" w14:textId="77777777" w:rsidR="006248E6" w:rsidRDefault="00000000" w:rsidP="00757407">
      <w:pPr>
        <w:spacing w:before="200" w:after="80"/>
        <w:ind w:left="360"/>
      </w:pPr>
      <w:r w:rsidRPr="00757407">
        <w:rPr>
          <w:b/>
          <w:color w:val="1F497D"/>
          <w:sz w:val="26"/>
        </w:rPr>
        <w:t>TC-36: Suite de integración que detenga regresiones reales</w:t>
      </w:r>
    </w:p>
    <w:p w14:paraId="1140C085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Nivel:</w:t>
      </w:r>
      <w:r>
        <w:t xml:space="preserve"> Avanzado | </w:t>
      </w:r>
      <w:r>
        <w:rPr>
          <w:b/>
        </w:rPr>
        <w:t>Puntos:</w:t>
      </w:r>
      <w:r>
        <w:t xml:space="preserve"> 13 | </w:t>
      </w:r>
      <w:r>
        <w:rPr>
          <w:b/>
        </w:rPr>
        <w:t>Dependencias:</w:t>
      </w:r>
      <w:r>
        <w:t xml:space="preserve"> Todos los retos seleccionados</w:t>
      </w:r>
    </w:p>
    <w:p w14:paraId="7C266EFA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Archivos:</w:t>
      </w:r>
      <w:r>
        <w:t xml:space="preserve"> </w:t>
      </w:r>
      <w:r>
        <w:rPr>
          <w:rFonts w:ascii="Consolas" w:hAnsi="Consolas"/>
          <w:color w:val="A31515"/>
        </w:rPr>
        <w:t>tacocloud-api/.../RealRegressionIntegrationTest.java</w:t>
      </w:r>
      <w:r>
        <w:t xml:space="preserve">, </w:t>
      </w:r>
      <w:r>
        <w:rPr>
          <w:rFonts w:ascii="Consolas" w:hAnsi="Consolas"/>
          <w:color w:val="A31515"/>
        </w:rPr>
        <w:t>tacocloud-kitchen/.../KitchenRegressionIntegrationTest.java</w:t>
      </w:r>
    </w:p>
    <w:p w14:paraId="697C63A8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Contrato:</w:t>
      </w:r>
      <w:r>
        <w:t xml:space="preserve"> Suite completa de integración E2E automatizada contra regresiones de negocio.</w:t>
      </w:r>
    </w:p>
    <w:p w14:paraId="64080104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Cambio Realizado:</w:t>
      </w:r>
      <w:r>
        <w:t xml:space="preserve"> Se diseñó e implementó una red de seguridad integral compuesta por 16 pruebas E2E (12 en API y 4 en Cocina) que cubren el flujo completo: creación con idempotencia y correlación, prevención de venta de aire, rollback de stock en cancelación, conflicto de clave de idempotencia, máquina de estados y terminales, seguridad multitenant (IDOR) y roles, reclamo atómico concurrente en cocina, resiliencia y relevo de Outbox ante caída del broker, contratos OpenAPI v1/v2, consistencia de métricas Micrometer, mensajes venenosos a DLQ, cola no bloqueante y replay de DLQ.</w:t>
      </w:r>
    </w:p>
    <w:p w14:paraId="221BE041" w14:textId="77777777" w:rsidR="006248E6" w:rsidRDefault="00000000" w:rsidP="00757407">
      <w:pPr>
        <w:spacing w:before="40" w:after="40"/>
        <w:ind w:left="360"/>
      </w:pPr>
      <w:r>
        <w:t xml:space="preserve">• </w:t>
      </w:r>
      <w:r>
        <w:rPr>
          <w:b/>
        </w:rPr>
        <w:t>Verificación:</w:t>
      </w:r>
      <w:r>
        <w:t xml:space="preserve"> Ejecución limpia de los 16 escenarios E2E y compilación multi-módulo Maven (</w:t>
      </w:r>
      <w:r>
        <w:rPr>
          <w:rFonts w:ascii="Consolas" w:hAnsi="Consolas"/>
          <w:color w:val="A31515"/>
        </w:rPr>
        <w:t>BUILD SUCCESS</w:t>
      </w:r>
      <w:r>
        <w:t>) en 15.7s con 0 errores y 0 fallos.</w:t>
      </w:r>
    </w:p>
    <w:p w14:paraId="2276E360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45FD9179" w14:textId="77777777" w:rsidR="006248E6" w:rsidRDefault="00000000" w:rsidP="00757407">
      <w:pPr>
        <w:pBdr>
          <w:bottom w:val="single" w:sz="12" w:space="4" w:color="2E75B6"/>
        </w:pBdr>
        <w:spacing w:before="300" w:after="120"/>
        <w:ind w:left="360"/>
      </w:pPr>
      <w:r w:rsidRPr="00757407">
        <w:rPr>
          <w:b/>
          <w:color w:val="2E75B6"/>
          <w:sz w:val="32"/>
        </w:rPr>
        <w:t>Matriz de Cumplimiento de la Definition of Done</w:t>
      </w:r>
    </w:p>
    <w:tbl>
      <w:tblPr>
        <w:tblW w:w="0" w:type="auto"/>
        <w:tblInd w:w="160" w:type="dxa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1689"/>
        <w:gridCol w:w="5516"/>
      </w:tblGrid>
      <w:tr w:rsidR="006248E6" w14:paraId="7D023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2A041" w14:textId="77777777" w:rsidR="006248E6" w:rsidRDefault="00000000" w:rsidP="00757407">
            <w:pPr>
              <w:spacing w:after="0" w:line="240" w:lineRule="auto"/>
              <w:ind w:left="360"/>
            </w:pPr>
            <w:r>
              <w:t>Criterio de la DoD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ABA86" w14:textId="77777777" w:rsidR="006248E6" w:rsidRDefault="00000000" w:rsidP="00757407">
            <w:pPr>
              <w:spacing w:after="0" w:line="240" w:lineRule="auto"/>
              <w:ind w:left="360"/>
            </w:pPr>
            <w:r>
              <w:t>Estado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28983" w14:textId="77777777" w:rsidR="006248E6" w:rsidRDefault="00000000" w:rsidP="00757407">
            <w:pPr>
              <w:spacing w:after="0" w:line="240" w:lineRule="auto"/>
              <w:ind w:left="360"/>
            </w:pPr>
            <w:r>
              <w:t>Detalle de Verificación</w:t>
            </w:r>
          </w:p>
        </w:tc>
      </w:tr>
      <w:tr w:rsidR="006248E6" w14:paraId="164A6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0A492E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1. Criterios de Aceptación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63E9B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C926F" w14:textId="77777777" w:rsidR="006248E6" w:rsidRDefault="00000000" w:rsidP="00757407">
            <w:pPr>
              <w:spacing w:after="0" w:line="240" w:lineRule="auto"/>
              <w:ind w:left="360"/>
            </w:pPr>
            <w:r>
              <w:t>Los 36 retos cumplen con el 100% de los criterios y contratos HTTP/eventos.</w:t>
            </w:r>
          </w:p>
        </w:tc>
      </w:tr>
      <w:tr w:rsidR="006248E6" w14:paraId="60D9A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D07F9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2. Pruebas Deterministas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7A974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5CCAB6" w14:textId="77777777" w:rsidR="006248E6" w:rsidRDefault="00000000" w:rsidP="00757407">
            <w:pPr>
              <w:spacing w:after="0" w:line="240" w:lineRule="auto"/>
              <w:ind w:left="360"/>
            </w:pPr>
            <w:r>
              <w:t xml:space="preserve">Sin </w:t>
            </w:r>
            <w:r w:rsidRPr="00757407">
              <w:rPr>
                <w:rFonts w:ascii="Consolas" w:hAnsi="Consolas"/>
                <w:color w:val="A31515"/>
              </w:rPr>
              <w:t>Thread.sleep</w:t>
            </w:r>
            <w:r>
              <w:t xml:space="preserve"> arbitrarios; empleo de </w:t>
            </w:r>
            <w:r w:rsidRPr="00757407">
              <w:rPr>
                <w:rFonts w:ascii="Consolas" w:hAnsi="Consolas"/>
                <w:color w:val="A31515"/>
              </w:rPr>
              <w:t>StepVerifier</w:t>
            </w:r>
            <w:r>
              <w:t xml:space="preserve">, </w:t>
            </w:r>
            <w:r w:rsidRPr="00757407">
              <w:rPr>
                <w:rFonts w:ascii="Consolas" w:hAnsi="Consolas"/>
                <w:color w:val="A31515"/>
              </w:rPr>
              <w:t>WebTestClient</w:t>
            </w:r>
            <w:r>
              <w:t xml:space="preserve"> y simuladores de tiempo deterministas.</w:t>
            </w:r>
          </w:p>
        </w:tc>
      </w:tr>
      <w:tr w:rsidR="006248E6" w14:paraId="26BB3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1A620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3. Cero Fuga de Datos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ED951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D3BB0A" w14:textId="77777777" w:rsidR="006248E6" w:rsidRDefault="00000000" w:rsidP="00757407">
            <w:pPr>
              <w:spacing w:after="0" w:line="240" w:lineRule="auto"/>
              <w:ind w:left="360"/>
            </w:pPr>
            <w:r>
              <w:t xml:space="preserve">PAN y CVV eliminados; contraseñas con </w:t>
            </w:r>
            <w:r w:rsidRPr="00757407">
              <w:rPr>
                <w:rFonts w:ascii="Consolas" w:hAnsi="Consolas"/>
                <w:color w:val="A31515"/>
              </w:rPr>
              <w:t>{bcrypt}</w:t>
            </w:r>
            <w:r>
              <w:t>; DTOs sin PII; redacción en logs y eventos de cocina.</w:t>
            </w:r>
          </w:p>
        </w:tc>
      </w:tr>
      <w:tr w:rsidR="006248E6" w14:paraId="53428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89E28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4. Consistencia de Estados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85811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787D3" w14:textId="77777777" w:rsidR="006248E6" w:rsidRDefault="00000000" w:rsidP="00757407">
            <w:pPr>
              <w:spacing w:after="0" w:line="240" w:lineRule="auto"/>
              <w:ind w:left="360"/>
            </w:pPr>
            <w:r>
              <w:t>Formato RFC 9457 (</w:t>
            </w:r>
            <w:r w:rsidRPr="00757407">
              <w:rPr>
                <w:rFonts w:ascii="Consolas" w:hAnsi="Consolas"/>
                <w:color w:val="A31515"/>
              </w:rPr>
              <w:t>ApiProblem</w:t>
            </w:r>
            <w:r>
              <w:t>), semántica REST estándar y contratos OpenAPI 3.0.3 publicados.</w:t>
            </w:r>
          </w:p>
        </w:tc>
      </w:tr>
      <w:tr w:rsidR="006248E6" w14:paraId="45C79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9000E0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5. Composición Reactiva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E6CB6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D6C11" w14:textId="77777777" w:rsidR="006248E6" w:rsidRDefault="00000000" w:rsidP="00757407">
            <w:pPr>
              <w:spacing w:after="0" w:line="240" w:lineRule="auto"/>
              <w:ind w:left="360"/>
            </w:pPr>
            <w:r>
              <w:t xml:space="preserve">Cero llamadas a </w:t>
            </w:r>
            <w:r w:rsidRPr="00757407">
              <w:rPr>
                <w:rFonts w:ascii="Consolas" w:hAnsi="Consolas"/>
                <w:color w:val="A31515"/>
              </w:rPr>
              <w:t>subscribe()</w:t>
            </w:r>
            <w:r>
              <w:t xml:space="preserve"> o </w:t>
            </w:r>
            <w:r w:rsidRPr="00757407">
              <w:rPr>
                <w:rFonts w:ascii="Consolas" w:hAnsi="Consolas"/>
                <w:color w:val="A31515"/>
              </w:rPr>
              <w:t>block()</w:t>
            </w:r>
            <w:r>
              <w:t xml:space="preserve"> en servicios/controladores. Reactividad pura de inicio a </w:t>
            </w:r>
            <w:r>
              <w:lastRenderedPageBreak/>
              <w:t>fin.</w:t>
            </w:r>
          </w:p>
        </w:tc>
      </w:tr>
      <w:tr w:rsidR="006248E6" w14:paraId="6D7A3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B38FBC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lastRenderedPageBreak/>
              <w:t>6. Defensa Técnica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DCAFB" w14:textId="77777777" w:rsidR="006248E6" w:rsidRDefault="00000000" w:rsidP="00757407">
            <w:pPr>
              <w:spacing w:after="0" w:line="240" w:lineRule="auto"/>
              <w:ind w:left="360"/>
            </w:pPr>
            <w:r w:rsidRPr="00757407">
              <w:rPr>
                <w:b/>
              </w:rPr>
              <w:t>CUMPLIDO</w:t>
            </w:r>
          </w:p>
        </w:tc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0D50D" w14:textId="77777777" w:rsidR="006248E6" w:rsidRDefault="00000000" w:rsidP="00757407">
            <w:pPr>
              <w:spacing w:after="0" w:line="240" w:lineRule="auto"/>
              <w:ind w:left="360"/>
            </w:pPr>
            <w:r>
              <w:t>Cada reto cuenta con su patrón arquitectónico justificado y respuestas de ingeniería consolidadas.</w:t>
            </w:r>
          </w:p>
        </w:tc>
      </w:tr>
    </w:tbl>
    <w:p w14:paraId="041E7462" w14:textId="77777777" w:rsidR="006248E6" w:rsidRDefault="006248E6" w:rsidP="00757407">
      <w:pPr>
        <w:pBdr>
          <w:bottom w:val="single" w:sz="6" w:space="8" w:color="CCCCCC"/>
        </w:pBdr>
        <w:spacing w:before="120" w:after="120"/>
      </w:pPr>
    </w:p>
    <w:p w14:paraId="1F638DF9" w14:textId="77777777" w:rsidR="006248E6" w:rsidRDefault="00000000" w:rsidP="00757407">
      <w:pPr>
        <w:spacing w:before="60" w:after="60"/>
        <w:ind w:left="360"/>
      </w:pPr>
      <w:r w:rsidRPr="00757407">
        <w:rPr>
          <w:i/>
        </w:rPr>
        <w:t>Documento generado y verificado automáticamente para el repositorio Taco Cloud.</w:t>
      </w:r>
    </w:p>
    <w:sectPr w:rsidR="006248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E3457"/>
    <w:multiLevelType w:val="hybridMultilevel"/>
    <w:tmpl w:val="EE90C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70DB2"/>
    <w:multiLevelType w:val="multilevel"/>
    <w:tmpl w:val="54EE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BA5843"/>
    <w:multiLevelType w:val="hybridMultilevel"/>
    <w:tmpl w:val="9A146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403195">
    <w:abstractNumId w:val="1"/>
  </w:num>
  <w:num w:numId="2" w16cid:durableId="1969358185">
    <w:abstractNumId w:val="0"/>
  </w:num>
  <w:num w:numId="3" w16cid:durableId="837186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8E6"/>
    <w:rsid w:val="004367F8"/>
    <w:rsid w:val="006248E6"/>
    <w:rsid w:val="0075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C07F8"/>
  <w15:docId w15:val="{DF0E41DF-BC11-BA45-B2E6-5144CF32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333333"/>
        <w:sz w:val="22"/>
        <w:szCs w:val="22"/>
        <w:lang w:val="en-MX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4813</Words>
  <Characters>27435</Characters>
  <Application>Microsoft Office Word</Application>
  <DocSecurity>0</DocSecurity>
  <Lines>228</Lines>
  <Paragraphs>64</Paragraphs>
  <ScaleCrop>false</ScaleCrop>
  <Company/>
  <LinksUpToDate>false</LinksUpToDate>
  <CharactersWithSpaces>32184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Andres Mojica Lamas</cp:lastModifiedBy>
  <cp:revision>2</cp:revision>
  <dcterms:created xsi:type="dcterms:W3CDTF">2026-09-20T04:45:00Z</dcterms:created>
  <dcterms:modified xsi:type="dcterms:W3CDTF">2026-09-20T04:45:00Z</dcterms:modified>
</cp:coreProperties>
</file>