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5040" w:hRule="exact"/>
        </w:trPr>
        <w:tc>
          <w:tcPr>
            <w:tcBorders>
              <w:top w:val="none" w:sz="0"/>
              <w:left w:val="none" w:sz="0"/>
              <w:bottom w:val="none" w:sz="0"/>
              <w:right w:val="none" w:sz="0"/>
            </w:tcBorders>
            <w:shd w:fill="1B3A6B" w:val="clear"/>
            <w:tcMar>
              <w:top w:type="dxa" w:w="800"/>
              <w:left w:type="dxa" w:w="1440"/>
              <w:bottom w:type="dxa" w:w="400"/>
              <w:right w:type="dxa" w:w="1440"/>
            </w:tcMar>
            <w:vAlign w:val="center"/>
          </w:tcPr>
          <w:p>
            <w:pPr>
              <w:bidi/>
              <w:spacing w:after="80" w:before="0"/>
              <w:jc w:val="center"/>
            </w:pPr>
            <w:r>
              <w:rPr>
                <w:rFonts w:ascii="Arial" w:cs="Arial" w:eastAsia="Arial" w:hAnsi="Arial"/>
                <w:b/>
                <w:bCs/>
                <w:i w:val="false"/>
                <w:iCs w:val="false"/>
                <w:color w:val="FFFFFF"/>
                <w:sz w:val="80"/>
                <w:szCs w:val="80"/>
              </w:rPr>
              <w:t xml:space="preserve">بنيان</w:t>
            </w:r>
          </w:p>
          <w:p>
            <w:pPr>
              <w:bidi/>
              <w:spacing w:after="200" w:before="0"/>
              <w:jc w:val="center"/>
            </w:pPr>
            <w:r>
              <w:rPr>
                <w:rFonts w:ascii="Arial" w:cs="Arial" w:eastAsia="Arial" w:hAnsi="Arial"/>
                <w:b/>
                <w:bCs/>
                <w:i w:val="false"/>
                <w:iCs w:val="false"/>
                <w:color w:val="C8960C"/>
                <w:sz w:val="40"/>
                <w:szCs w:val="40"/>
              </w:rPr>
              <w:t xml:space="preserve">للتوريدات العمومية والمقاولات</w:t>
            </w:r>
          </w:p>
          <w:p>
            <w:pPr>
              <w:pBdr>
                <w:top w:val="single" w:color="C8960C" w:sz="4" w:space="12"/>
              </w:pBdr>
              <w:bidi/>
              <w:spacing w:after="0" w:before="200"/>
              <w:jc w:val="center"/>
            </w:pPr>
            <w:r>
              <w:rPr>
                <w:rFonts w:ascii="Arial" w:cs="Arial" w:eastAsia="Arial" w:hAnsi="Arial"/>
                <w:b w:val="false"/>
                <w:bCs w:val="false"/>
                <w:i w:val="false"/>
                <w:iCs w:val="false"/>
                <w:color w:val="CCDDEE"/>
                <w:sz w:val="28"/>
                <w:szCs w:val="28"/>
              </w:rPr>
              <w:t xml:space="preserve">BONYAN Contracting &amp; Supplies</w:t>
            </w: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180" w:hRule="exact"/>
        </w:trPr>
        <w:tc>
          <w:tcPr>
            <w:tcBorders>
              <w:top w:val="none" w:sz="0"/>
              <w:left w:val="none" w:sz="0"/>
              <w:bottom w:val="none" w:sz="0"/>
              <w:right w:val="none" w:sz="0"/>
            </w:tcBorders>
            <w:shd w:fill="C8960C" w:val="clear"/>
          </w:tcPr>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7200" w:hRule="exact"/>
        </w:trPr>
        <w:tc>
          <w:tcPr>
            <w:tcBorders>
              <w:top w:val="none" w:sz="0"/>
              <w:left w:val="none" w:sz="0"/>
              <w:bottom w:val="none" w:sz="0"/>
              <w:right w:val="none" w:sz="0"/>
            </w:tcBorders>
            <w:shd w:fill="F5F8FF" w:val="clear"/>
            <w:tcMar>
              <w:top w:type="dxa" w:w="1080"/>
              <w:left w:type="dxa" w:w="1440"/>
              <w:bottom w:type="dxa" w:w="400"/>
              <w:right w:type="dxa" w:w="1440"/>
            </w:tcMar>
            <w:vAlign w:val="center"/>
          </w:tcPr>
          <w:p>
            <w:pPr>
              <w:bidi/>
              <w:spacing w:after="360" w:before="0"/>
              <w:jc w:val="center"/>
            </w:pPr>
            <w:r>
              <w:rPr>
                <w:rFonts w:ascii="Arial" w:cs="Arial" w:eastAsia="Arial" w:hAnsi="Arial"/>
                <w:b/>
                <w:bCs/>
                <w:i w:val="false"/>
                <w:iCs w:val="false"/>
                <w:color w:val="1B3A6B"/>
                <w:sz w:val="52"/>
                <w:szCs w:val="52"/>
              </w:rPr>
              <w:t xml:space="preserve">الملف التعريفي للشركة</w:t>
            </w:r>
          </w:p>
          <w:p>
            <w:pPr>
              <w:bidi/>
              <w:spacing w:after="600" w:before="0"/>
              <w:jc w:val="center"/>
            </w:pPr>
            <w:r>
              <w:rPr>
                <w:rFonts w:ascii="Arial" w:cs="Arial" w:eastAsia="Arial" w:hAnsi="Arial"/>
                <w:b w:val="false"/>
                <w:bCs w:val="false"/>
                <w:i w:val="false"/>
                <w:iCs w:val="false"/>
                <w:color w:val="666666"/>
                <w:sz w:val="22"/>
                <w:szCs w:val="22"/>
              </w:rPr>
              <w:t xml:space="preserve">المقاولات  |  محاجر الجرانيت  |  التوريد والتطبيق  |  التشغيل والصيانة</w:t>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6000"/>
            </w:tblGrid>
            <w:tr>
              <w:tc>
                <w:tcPr>
                  <w:tcBorders>
                    <w:top w:val="single" w:color="C8960C" w:sz="6"/>
                    <w:left w:val="single" w:color="C8960C" w:sz="6"/>
                    <w:bottom w:val="single" w:color="C8960C" w:sz="6"/>
                    <w:right w:val="single" w:color="C8960C" w:sz="6"/>
                  </w:tcBorders>
                  <w:shd w:fill="FFFFFF" w:val="clear"/>
                  <w:tcMar>
                    <w:top w:type="dxa" w:w="160"/>
                    <w:left w:type="dxa" w:w="280"/>
                    <w:bottom w:type="dxa" w:w="160"/>
                    <w:right w:type="dxa" w:w="280"/>
                  </w:tcMar>
                </w:tcPr>
                <w:p>
                  <w:pPr>
                    <w:bidi/>
                    <w:jc w:val="center"/>
                  </w:pPr>
                  <w:r>
                    <w:rPr>
                      <w:rFonts w:ascii="Arial" w:cs="Arial" w:eastAsia="Arial" w:hAnsi="Arial"/>
                      <w:b w:val="false"/>
                      <w:bCs w:val="false"/>
                      <w:i w:val="false"/>
                      <w:iCs w:val="false"/>
                      <w:color w:val="333333"/>
                      <w:sz w:val="20"/>
                      <w:szCs w:val="20"/>
                    </w:rPr>
                    <w:t xml:space="preserve">المبنى 21، الطابق الرابع، شقة 405، مدينة نصر، القاهرة، مصر</w:t>
                  </w:r>
                </w:p>
                <w:p>
                  <w:pPr>
                    <w:bidi/>
                    <w:jc w:val="center"/>
                  </w:pPr>
                  <w:r>
                    <w:rPr>
                      <w:rFonts w:ascii="Arial" w:cs="Arial" w:eastAsia="Arial" w:hAnsi="Arial"/>
                      <w:b w:val="false"/>
                      <w:bCs w:val="false"/>
                      <w:i w:val="false"/>
                      <w:iCs w:val="false"/>
                      <w:color w:val="333333"/>
                      <w:sz w:val="20"/>
                      <w:szCs w:val="20"/>
                    </w:rPr>
                    <w:t xml:space="preserve">هاتف: 01116777763  |  02222622490</w:t>
                  </w:r>
                </w:p>
                <w:p>
                  <w:pPr>
                    <w:bidi/>
                    <w:jc w:val="center"/>
                  </w:pPr>
                  <w:r>
                    <w:rPr>
                      <w:rFonts w:ascii="Arial" w:cs="Arial" w:eastAsia="Arial" w:hAnsi="Arial"/>
                      <w:b w:val="false"/>
                      <w:bCs w:val="false"/>
                      <w:i w:val="false"/>
                      <w:iCs w:val="false"/>
                      <w:color w:val="1B3A6B"/>
                      <w:sz w:val="20"/>
                      <w:szCs w:val="20"/>
                    </w:rPr>
                    <w:t xml:space="preserve">البريد الإلكتروني: ali.helally@Bonyaneg.com</w:t>
                  </w:r>
                </w:p>
                <w:p>
                  <w:pPr>
                    <w:bidi/>
                    <w:jc w:val="center"/>
                  </w:pPr>
                  <w:r>
                    <w:rPr>
                      <w:rFonts w:ascii="Arial" w:cs="Arial" w:eastAsia="Arial" w:hAnsi="Arial"/>
                      <w:b w:val="false"/>
                      <w:bCs w:val="false"/>
                      <w:i w:val="false"/>
                      <w:iCs w:val="false"/>
                      <w:color w:val="1B3A6B"/>
                      <w:sz w:val="20"/>
                      <w:szCs w:val="20"/>
                    </w:rPr>
                    <w:t xml:space="preserve">www.Bonyaneg.com</w:t>
                  </w:r>
                </w:p>
              </w:tc>
            </w:tr>
          </w:tbl>
          <w:p/>
        </w:tc>
      </w:tr>
    </w:tbl>
    <w:tbl>
      <w:tblPr>
        <w:tblW w:type="dxa" w:w="12240"/>
        <w:tblBorders>
          <w:top w:val="single" w:color="auto" w:sz="4"/>
          <w:left w:val="single" w:color="auto" w:sz="4"/>
          <w:bottom w:val="single" w:color="auto" w:sz="4"/>
          <w:right w:val="single" w:color="auto" w:sz="4"/>
          <w:insideH w:val="single" w:color="auto" w:sz="4"/>
          <w:insideV w:val="single" w:color="auto" w:sz="4"/>
        </w:tblBorders>
      </w:tblPr>
      <w:tblGrid>
        <w:gridCol w:w="12240"/>
      </w:tblGrid>
      <w:tr>
        <w:trPr>
          <w:trHeight w:val="720" w:hRule="exact"/>
        </w:trPr>
        <w:tc>
          <w:tcPr>
            <w:tcBorders>
              <w:top w:val="none" w:sz="0"/>
              <w:left w:val="none" w:sz="0"/>
              <w:bottom w:val="none" w:sz="0"/>
              <w:right w:val="none" w:sz="0"/>
            </w:tcBorders>
            <w:shd w:fill="1B3A6B" w:val="clear"/>
            <w:tcMar>
              <w:top w:type="dxa" w:w="200"/>
              <w:left w:type="dxa" w:w="1440"/>
              <w:bottom w:type="dxa" w:w="0"/>
              <w:right w:type="dxa" w:w="1440"/>
            </w:tcMar>
            <w:vAlign w:val="center"/>
          </w:tcPr>
          <w:p>
            <w:pPr>
              <w:bidi/>
              <w:jc w:val="center"/>
            </w:pPr>
            <w:r>
              <w:rPr>
                <w:rFonts w:ascii="Arial" w:cs="Arial" w:eastAsia="Arial" w:hAnsi="Arial"/>
                <w:b w:val="false"/>
                <w:bCs w:val="false"/>
                <w:i/>
                <w:iCs/>
                <w:color w:val="C8960C"/>
                <w:sz w:val="20"/>
                <w:szCs w:val="20"/>
              </w:rPr>
              <w:t xml:space="preserve">التميّز في كل حجر — الجودة في كل مشروع</w:t>
            </w:r>
          </w:p>
        </w:tc>
      </w:tr>
    </w:tbl>
    <w:p>
      <w:r>
        <w:br w:type="page"/>
      </w:r>
    </w:p>
    <w:p>
      <w:pPr>
        <w:sectPr>
          <w:pgSz w:w="12240" w:h="15840" w:orient="portrait"/>
          <w:pgMar w:top="0" w:right="0" w:bottom="0" w:left="0" w:header="708" w:footer="708" w:gutter="0"/>
          <w:pgNumType/>
          <w:docGrid w:linePitch="360"/>
        </w:sectPr>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نبذة عن الشركة</w:t>
      </w:r>
    </w:p>
    <w:p>
      <w:pPr>
        <w:spacing w:after="0" w:before="120"/>
      </w:pPr>
    </w:p>
    <w:p>
      <w:pPr>
        <w:bidi/>
        <w:spacing w:after="80" w:before="80"/>
        <w:jc w:val="right"/>
      </w:pPr>
      <w:r>
        <w:rPr>
          <w:rFonts w:ascii="Arial" w:cs="Arial" w:eastAsia="Arial" w:hAnsi="Arial"/>
          <w:b w:val="false"/>
          <w:bCs w:val="false"/>
          <w:i w:val="false"/>
          <w:iCs w:val="false"/>
          <w:color w:val="333333"/>
          <w:sz w:val="22"/>
          <w:szCs w:val="22"/>
        </w:rPr>
        <w:t xml:space="preserve">شركة بنيان للتوريدات والمقاولات، العاملة تحت مظلة مجموعة بنيان، تُعدّ من الشركات الرائدة في تقديم حلول متكاملة في مجالات المقاولات الإنشائية، واستخراج الجرانيت من المحاجر، وخدمات التوريد والتطبيق، فضلاً عن أعمال التشغيل والصيانة (O&amp;M) للمستشفيات والمباني.</w:t>
      </w:r>
    </w:p>
    <w:p>
      <w:pPr>
        <w:spacing w:after="0" w:before="80"/>
      </w:pPr>
    </w:p>
    <w:p>
      <w:pPr>
        <w:bidi/>
        <w:spacing w:after="80" w:before="80"/>
        <w:jc w:val="right"/>
      </w:pPr>
      <w:r>
        <w:rPr>
          <w:rFonts w:ascii="Arial" w:cs="Arial" w:eastAsia="Arial" w:hAnsi="Arial"/>
          <w:b w:val="false"/>
          <w:bCs w:val="false"/>
          <w:i w:val="false"/>
          <w:iCs w:val="false"/>
          <w:color w:val="333333"/>
          <w:sz w:val="22"/>
          <w:szCs w:val="22"/>
        </w:rPr>
        <w:t xml:space="preserve">نفخر بتقديم خدمات عالية الجودة مع التركيز على السلامة والابتكار ورضا العملاء. بفضل سجلنا الحافل بإنجاز المشاريع الكبرى في مصر، أثبتنا جدارتنا شريكاً موثوقاً للمقاولين والاستشاريين والملاك على حدٍّ سواء.</w:t>
      </w:r>
    </w:p>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لمحة عامة عن الشركة</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160"/>
        <w:gridCol w:w="2200"/>
      </w:tblGrid>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بنيان للتوريدات والمقاولات</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اسم الشركة</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مجموعة بنيان</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المجموعة</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منشأة فردية</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الشكل القانوني</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4690</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كود النشاط</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41794:0  |  رقم موحد: 552666416</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السجل التجاري</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مصلحة الضرائب المصرية — مدينة نصر</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التسجيل الضريبي</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2017</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تاريخ التأسيس</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المبنى 21، الطابق الرابع، شقة 405، مدينة نصر، القاهرة، مصر</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المقر الرئيسي</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01116777763  |  02222622490</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الهاتف</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ali.helally@Bonyaneg.com</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البريد الإلكتروني</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www.Bonyaneg.com</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الموقع الإلكتروني</w:t>
            </w:r>
          </w:p>
        </w:tc>
      </w:tr>
      <w:tr>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التوريدات العمومية، المقاولات، الاستيراد والتصدير، الأعمال الكهربائية</w:t>
            </w:r>
          </w:p>
        </w:tc>
        <w:tc>
          <w:tcPr>
            <w:tcW w:type="dxa" w:w="2200"/>
            <w:tcBorders>
              <w:top w:val="single" w:color="CCCCCC" w:sz="1"/>
              <w:left w:val="single" w:color="CCCCCC" w:sz="1"/>
              <w:bottom w:val="single" w:color="CCCCCC" w:sz="1"/>
              <w:right w:val="single" w:color="CCCCCC" w:sz="1"/>
            </w:tcBorders>
            <w:shd w:fill="EAF0FB" w:val="clear"/>
            <w:tcMar>
              <w:top w:type="dxa" w:w="80"/>
              <w:left w:type="dxa" w:w="120"/>
              <w:bottom w:type="dxa" w:w="80"/>
              <w:right w:type="dxa" w:w="120"/>
            </w:tcMar>
          </w:tcPr>
          <w:p>
            <w:pPr>
              <w:bidi/>
              <w:jc w:val="right"/>
            </w:pPr>
            <w:r>
              <w:rPr>
                <w:rFonts w:ascii="Arial" w:cs="Arial" w:eastAsia="Arial" w:hAnsi="Arial"/>
                <w:b/>
                <w:bCs/>
                <w:i w:val="false"/>
                <w:iCs w:val="false"/>
                <w:color w:val="1B3A6B"/>
                <w:sz w:val="20"/>
                <w:szCs w:val="20"/>
              </w:rPr>
              <w:t xml:space="preserve">التخصصات</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خدماتنا وقدراتنا</w:t>
      </w:r>
    </w:p>
    <w:p>
      <w:pPr>
        <w:spacing w:after="0" w:before="120"/>
      </w:pPr>
    </w:p>
    <w:p>
      <w:pPr>
        <w:bidi/>
        <w:spacing w:after="80" w:before="80"/>
        <w:jc w:val="right"/>
      </w:pPr>
      <w:r>
        <w:rPr>
          <w:rFonts w:ascii="Arial" w:cs="Arial" w:eastAsia="Arial" w:hAnsi="Arial"/>
          <w:b w:val="false"/>
          <w:bCs w:val="false"/>
          <w:i w:val="false"/>
          <w:iCs w:val="false"/>
          <w:color w:val="333333"/>
          <w:sz w:val="22"/>
          <w:szCs w:val="22"/>
        </w:rPr>
        <w:t xml:space="preserve">تقدّم بنيان حلولاً متكاملة عبر أربعة محاور رئيسية للخدمات، مما يتيح للعملاء التعامل مع شريك واحد موثوق مسؤول عن كافة مراحل المشروع.</w:t>
      </w:r>
    </w:p>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none" w:sz="0"/>
              <w:left w:val="none" w:sz="0"/>
              <w:bottom w:val="none" w:sz="0"/>
              <w:right w:val="none" w:sz="0"/>
            </w:tcBorders>
            <w:shd w:fill="1B3A6B" w:val="clear"/>
            <w:tcMar>
              <w:top w:type="dxa" w:w="120"/>
              <w:left w:type="dxa" w:w="160"/>
              <w:bottom w:type="dxa" w:w="120"/>
              <w:right w:type="dxa" w:w="16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FFFFFF"/>
                <w:sz w:val="20"/>
                <w:szCs w:val="20"/>
              </w:rPr>
              <w:t xml:space="preserve">المقاولات والإنشاءات</w:t>
            </w:r>
          </w:p>
          <w:p>
            <w:pPr>
              <w:bidi/>
              <w:jc w:val="center"/>
            </w:pPr>
            <w:r>
              <w:rPr>
                <w:rFonts w:ascii="Arial" w:cs="Arial" w:eastAsia="Arial" w:hAnsi="Arial"/>
                <w:b w:val="false"/>
                <w:bCs w:val="false"/>
                <w:i w:val="false"/>
                <w:iCs w:val="false"/>
                <w:color w:val="CCDDEE"/>
                <w:sz w:val="18"/>
                <w:szCs w:val="18"/>
              </w:rPr>
              <w:t xml:space="preserve">أعمال مدنية وتشطيبات متكاملة</w:t>
            </w:r>
          </w:p>
        </w:tc>
        <w:tc>
          <w:tcPr>
            <w:tcW w:type="dxa" w:w="240"/>
            <w:tcBorders>
              <w:top w:val="none" w:sz="0"/>
              <w:left w:val="none" w:sz="0"/>
              <w:bottom w:val="none" w:sz="0"/>
              <w:right w:val="none" w:sz="0"/>
            </w:tcBorders>
          </w:tcPr>
          <w:p/>
        </w:tc>
        <w:tc>
          <w:tcPr>
            <w:tcW w:type="dxa" w:w="4560"/>
            <w:tcBorders>
              <w:top w:val="none" w:sz="0"/>
              <w:left w:val="none" w:sz="0"/>
              <w:bottom w:val="none" w:sz="0"/>
              <w:right w:val="none" w:sz="0"/>
            </w:tcBorders>
            <w:shd w:fill="1B3A6B" w:val="clear"/>
            <w:tcMar>
              <w:top w:type="dxa" w:w="120"/>
              <w:left w:type="dxa" w:w="160"/>
              <w:bottom w:type="dxa" w:w="120"/>
              <w:right w:type="dxa" w:w="16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FFFFFF"/>
                <w:sz w:val="20"/>
                <w:szCs w:val="20"/>
              </w:rPr>
              <w:t xml:space="preserve">استخراج وتوريد الجرانيت</w:t>
            </w:r>
          </w:p>
          <w:p>
            <w:pPr>
              <w:bidi/>
              <w:jc w:val="center"/>
            </w:pPr>
            <w:r>
              <w:rPr>
                <w:rFonts w:ascii="Arial" w:cs="Arial" w:eastAsia="Arial" w:hAnsi="Arial"/>
                <w:b w:val="false"/>
                <w:bCs w:val="false"/>
                <w:i w:val="false"/>
                <w:iCs w:val="false"/>
                <w:color w:val="CCDDEE"/>
                <w:sz w:val="18"/>
                <w:szCs w:val="18"/>
              </w:rPr>
              <w:t xml:space="preserve">محاجر مباشرة — أسوان ومرسى علم</w:t>
            </w:r>
          </w:p>
        </w:tc>
      </w:tr>
      <w:tr>
        <w:tc>
          <w:tcPr>
            <w:tcW w:type="dxa" w:w="9360"/>
            <w:tcBorders>
              <w:top w:val="none" w:sz="0"/>
              <w:left w:val="none" w:sz="0"/>
              <w:bottom w:val="none" w:sz="0"/>
              <w:right w:val="none" w:sz="0"/>
            </w:tcBorders>
          </w:tcPr>
          <w:p>
            <w:pPr>
              <w:spacing w:before="80"/>
            </w:pPr>
          </w:p>
        </w:tc>
      </w:tr>
      <w:tr>
        <w:tc>
          <w:tcPr>
            <w:tcW w:type="dxa" w:w="4560"/>
            <w:tcBorders>
              <w:top w:val="none" w:sz="0"/>
              <w:left w:val="none" w:sz="0"/>
              <w:bottom w:val="none" w:sz="0"/>
              <w:right w:val="none" w:sz="0"/>
            </w:tcBorders>
            <w:shd w:fill="1B3A6B" w:val="clear"/>
            <w:tcMar>
              <w:top w:type="dxa" w:w="120"/>
              <w:left w:type="dxa" w:w="160"/>
              <w:bottom w:type="dxa" w:w="120"/>
              <w:right w:type="dxa" w:w="16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FFFFFF"/>
                <w:sz w:val="20"/>
                <w:szCs w:val="20"/>
              </w:rPr>
              <w:t xml:space="preserve">تطبيق وتشطيب الأحجار</w:t>
            </w:r>
          </w:p>
          <w:p>
            <w:pPr>
              <w:bidi/>
              <w:jc w:val="center"/>
            </w:pPr>
            <w:r>
              <w:rPr>
                <w:rFonts w:ascii="Arial" w:cs="Arial" w:eastAsia="Arial" w:hAnsi="Arial"/>
                <w:b w:val="false"/>
                <w:bCs w:val="false"/>
                <w:i w:val="false"/>
                <w:iCs w:val="false"/>
                <w:color w:val="CCDDEE"/>
                <w:sz w:val="18"/>
                <w:szCs w:val="18"/>
              </w:rPr>
              <w:t xml:space="preserve">أرضيات ومحاجي وسلالم رخام وجرانيت</w:t>
            </w:r>
          </w:p>
        </w:tc>
        <w:tc>
          <w:tcPr>
            <w:tcW w:type="dxa" w:w="240"/>
            <w:tcBorders>
              <w:top w:val="none" w:sz="0"/>
              <w:left w:val="none" w:sz="0"/>
              <w:bottom w:val="none" w:sz="0"/>
              <w:right w:val="none" w:sz="0"/>
            </w:tcBorders>
          </w:tcPr>
          <w:p/>
        </w:tc>
        <w:tc>
          <w:tcPr>
            <w:tcW w:type="dxa" w:w="4560"/>
            <w:tcBorders>
              <w:top w:val="none" w:sz="0"/>
              <w:left w:val="none" w:sz="0"/>
              <w:bottom w:val="none" w:sz="0"/>
              <w:right w:val="none" w:sz="0"/>
            </w:tcBorders>
            <w:shd w:fill="1B3A6B" w:val="clear"/>
            <w:tcMar>
              <w:top w:type="dxa" w:w="120"/>
              <w:left w:type="dxa" w:w="160"/>
              <w:bottom w:type="dxa" w:w="120"/>
              <w:right w:type="dxa" w:w="16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FFFFFF"/>
                <w:sz w:val="20"/>
                <w:szCs w:val="20"/>
              </w:rPr>
              <w:t xml:space="preserve">التشغيل والصيانة</w:t>
            </w:r>
          </w:p>
          <w:p>
            <w:pPr>
              <w:bidi/>
              <w:jc w:val="center"/>
            </w:pPr>
            <w:r>
              <w:rPr>
                <w:rFonts w:ascii="Arial" w:cs="Arial" w:eastAsia="Arial" w:hAnsi="Arial"/>
                <w:b w:val="false"/>
                <w:bCs w:val="false"/>
                <w:i w:val="false"/>
                <w:iCs w:val="false"/>
                <w:color w:val="CCDDEE"/>
                <w:sz w:val="18"/>
                <w:szCs w:val="18"/>
              </w:rPr>
              <w:t xml:space="preserve">خدمات O&amp;M للمستشفيات والمباني</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قدرات الجرانيت والأحجار</w:t>
      </w:r>
    </w:p>
    <w:p>
      <w:pPr>
        <w:spacing w:after="0" w:before="120"/>
      </w:pPr>
    </w:p>
    <w:p>
      <w:pPr>
        <w:bidi/>
        <w:spacing w:after="80" w:before="80"/>
        <w:jc w:val="right"/>
      </w:pPr>
      <w:r>
        <w:rPr>
          <w:rFonts w:ascii="Arial" w:cs="Arial" w:eastAsia="Arial" w:hAnsi="Arial"/>
          <w:b w:val="false"/>
          <w:bCs w:val="false"/>
          <w:i w:val="false"/>
          <w:iCs w:val="false"/>
          <w:color w:val="333333"/>
          <w:sz w:val="22"/>
          <w:szCs w:val="22"/>
        </w:rPr>
        <w:t xml:space="preserve">تمتلك بنيان وصولاً مباشراً إلى محاجر أسوان ومرسى علم، مما يضمن التحكم في الجودة من المصدر إلى الموقع. تشمل قدراتنا الإنتاجية:</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CCCCCC" w:sz="1"/>
              <w:left w:val="single" w:color="CCCCCC" w:sz="1"/>
              <w:bottom w:val="single" w:color="CCCCCC" w:sz="1"/>
              <w:right w:val="none"/>
            </w:tcBorders>
            <w:shd w:fill="EAF0FB" w:val="clear"/>
            <w:tcMar>
              <w:top w:type="dxa" w:w="120"/>
              <w:left w:type="dxa" w:w="160"/>
              <w:bottom w:type="dxa" w:w="120"/>
              <w:right w:type="dxa" w:w="160"/>
            </w:tcMar>
          </w:tcPr>
          <w:p>
            <w:pPr>
              <w:bidi/>
              <w:spacing w:after="80" w:before="0"/>
              <w:jc w:val="right"/>
            </w:pPr>
            <w:r>
              <w:rPr>
                <w:rFonts w:ascii="Arial" w:cs="Arial" w:eastAsia="Arial" w:hAnsi="Arial"/>
                <w:b/>
                <w:bCs/>
                <w:i w:val="false"/>
                <w:iCs w:val="false"/>
                <w:color w:val="1B3A6B"/>
                <w:sz w:val="20"/>
                <w:szCs w:val="20"/>
              </w:rPr>
              <w:t xml:space="preserve">التطبيقات الخارجية</w:t>
            </w:r>
          </w:p>
          <w:p>
            <w:pPr>
              <w:bidi/>
              <w:jc w:val="right"/>
            </w:pPr>
            <w:r>
              <w:rPr>
                <w:rFonts w:ascii="Arial" w:cs="Arial" w:eastAsia="Arial" w:hAnsi="Arial"/>
                <w:b w:val="false"/>
                <w:bCs w:val="false"/>
                <w:i w:val="false"/>
                <w:iCs w:val="false"/>
                <w:color w:val="333333"/>
                <w:sz w:val="20"/>
                <w:szCs w:val="20"/>
              </w:rPr>
              <w:t xml:space="preserve">▸  براون قصير — تنورة خارجية (60×60)</w:t>
            </w:r>
          </w:p>
          <w:p>
            <w:pPr>
              <w:bidi/>
              <w:jc w:val="right"/>
            </w:pPr>
            <w:r>
              <w:rPr>
                <w:rFonts w:ascii="Arial" w:cs="Arial" w:eastAsia="Arial" w:hAnsi="Arial"/>
                <w:b w:val="false"/>
                <w:bCs w:val="false"/>
                <w:i w:val="false"/>
                <w:iCs w:val="false"/>
                <w:color w:val="333333"/>
                <w:sz w:val="20"/>
                <w:szCs w:val="20"/>
              </w:rPr>
              <w:t xml:space="preserve">▸  براون قصير — طرة خارجية</w:t>
            </w:r>
          </w:p>
          <w:p>
            <w:pPr>
              <w:bidi/>
              <w:jc w:val="right"/>
            </w:pPr>
            <w:r>
              <w:rPr>
                <w:rFonts w:ascii="Arial" w:cs="Arial" w:eastAsia="Arial" w:hAnsi="Arial"/>
                <w:b w:val="false"/>
                <w:bCs w:val="false"/>
                <w:i w:val="false"/>
                <w:iCs w:val="false"/>
                <w:color w:val="333333"/>
                <w:sz w:val="20"/>
                <w:szCs w:val="20"/>
              </w:rPr>
              <w:t xml:space="preserve">▸  كسوة وواجهات خارجية</w:t>
            </w:r>
          </w:p>
        </w:tc>
        <w:tc>
          <w:tcPr>
            <w:tcW w:type="dxa" w:w="240"/>
            <w:tcBorders>
              <w:top w:val="none" w:sz="0"/>
              <w:left w:val="none" w:sz="0"/>
              <w:bottom w:val="none" w:sz="0"/>
              <w:right w:val="none" w:sz="0"/>
            </w:tcBorders>
          </w:tcPr>
          <w:p/>
        </w:tc>
        <w:tc>
          <w:tcPr>
            <w:tcW w:type="dxa" w:w="4560"/>
            <w:tcBorders>
              <w:top w:val="single" w:color="CCCCCC" w:sz="1"/>
              <w:left w:val="none"/>
              <w:bottom w:val="single" w:color="CCCCCC" w:sz="1"/>
              <w:right w:val="single" w:color="CCCCCC" w:sz="1"/>
            </w:tcBorders>
            <w:shd w:fill="FDF6E3" w:val="clear"/>
            <w:tcMar>
              <w:top w:type="dxa" w:w="120"/>
              <w:left w:type="dxa" w:w="160"/>
              <w:bottom w:type="dxa" w:w="120"/>
              <w:right w:type="dxa" w:w="160"/>
            </w:tcMar>
          </w:tcPr>
          <w:p>
            <w:pPr>
              <w:bidi/>
              <w:spacing w:after="80" w:before="0"/>
              <w:jc w:val="right"/>
            </w:pPr>
            <w:r>
              <w:rPr>
                <w:rFonts w:ascii="Arial" w:cs="Arial" w:eastAsia="Arial" w:hAnsi="Arial"/>
                <w:b/>
                <w:bCs/>
                <w:i w:val="false"/>
                <w:iCs w:val="false"/>
                <w:color w:val="1B3A6B"/>
                <w:sz w:val="20"/>
                <w:szCs w:val="20"/>
              </w:rPr>
              <w:t xml:space="preserve">التطبيقات الداخلية</w:t>
            </w:r>
          </w:p>
          <w:p>
            <w:pPr>
              <w:bidi/>
              <w:jc w:val="right"/>
            </w:pPr>
            <w:r>
              <w:rPr>
                <w:rFonts w:ascii="Arial" w:cs="Arial" w:eastAsia="Arial" w:hAnsi="Arial"/>
                <w:b w:val="false"/>
                <w:bCs w:val="false"/>
                <w:i w:val="false"/>
                <w:iCs w:val="false"/>
                <w:color w:val="333333"/>
                <w:sz w:val="20"/>
                <w:szCs w:val="20"/>
              </w:rPr>
              <w:t xml:space="preserve">▸  جرانيت شبح — أرضيات (60×60)</w:t>
            </w:r>
          </w:p>
          <w:p>
            <w:pPr>
              <w:bidi/>
              <w:jc w:val="right"/>
            </w:pPr>
            <w:r>
              <w:rPr>
                <w:rFonts w:ascii="Arial" w:cs="Arial" w:eastAsia="Arial" w:hAnsi="Arial"/>
                <w:b w:val="false"/>
                <w:bCs w:val="false"/>
                <w:i w:val="false"/>
                <w:iCs w:val="false"/>
                <w:color w:val="333333"/>
                <w:sz w:val="20"/>
                <w:szCs w:val="20"/>
              </w:rPr>
              <w:t xml:space="preserve">▸  براون قصير — درجات السلالم</w:t>
            </w:r>
          </w:p>
          <w:p>
            <w:pPr>
              <w:bidi/>
              <w:jc w:val="right"/>
            </w:pPr>
            <w:r>
              <w:rPr>
                <w:rFonts w:ascii="Arial" w:cs="Arial" w:eastAsia="Arial" w:hAnsi="Arial"/>
                <w:b w:val="false"/>
                <w:bCs w:val="false"/>
                <w:i w:val="false"/>
                <w:iCs w:val="false"/>
                <w:color w:val="333333"/>
                <w:sz w:val="20"/>
                <w:szCs w:val="20"/>
              </w:rPr>
              <w:t xml:space="preserve">▸  إمبريال برونز / براون قصير — كسوة داخلية</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الهيكل التنظيمي</w:t>
      </w:r>
    </w:p>
    <w:p>
      <w:pPr>
        <w:spacing w:after="0" w:before="120"/>
      </w:pPr>
    </w:p>
    <w:p>
      <w:pPr>
        <w:bidi/>
        <w:spacing w:after="80" w:before="80"/>
        <w:jc w:val="right"/>
      </w:pPr>
      <w:r>
        <w:rPr>
          <w:rFonts w:ascii="Arial" w:cs="Arial" w:eastAsia="Arial" w:hAnsi="Arial"/>
          <w:b w:val="false"/>
          <w:bCs w:val="false"/>
          <w:i w:val="false"/>
          <w:iCs w:val="false"/>
          <w:color w:val="333333"/>
          <w:sz w:val="22"/>
          <w:szCs w:val="22"/>
        </w:rPr>
        <w:t xml:space="preserve">تعمل بنيان بهيكل تنظيمي متخصص يرأسه المدير العام، مدعوماً بأقسام متخصصة:</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3A6B" w:val="clear"/>
            <w:tcMar>
              <w:top w:type="dxa" w:w="120"/>
              <w:left w:type="dxa" w:w="160"/>
              <w:bottom w:type="dxa" w:w="120"/>
              <w:right w:type="dxa" w:w="160"/>
            </w:tcMar>
            <w:vAlign w:val="center"/>
          </w:tcPr>
          <w:p>
            <w:pPr>
              <w:bidi/>
              <w:jc w:val="center"/>
            </w:pPr>
            <w:r>
              <w:rPr>
                <w:rFonts w:ascii="Arial" w:cs="Arial" w:eastAsia="Arial" w:hAnsi="Arial"/>
                <w:b/>
                <w:bCs/>
                <w:i w:val="false"/>
                <w:iCs w:val="false"/>
                <w:color w:val="FFFFFF"/>
                <w:sz w:val="24"/>
                <w:szCs w:val="24"/>
              </w:rPr>
              <w:t xml:space="preserve">المدير العام</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
        <w:gridCol w:w="2800"/>
        <w:gridCol w:w="240"/>
        <w:gridCol w:w="3280"/>
      </w:tblGrid>
      <w:tr>
        <w:tc>
          <w:tcPr>
            <w:tcW w:type="dxa" w:w="2800"/>
            <w:tcBorders>
              <w:top w:val="single" w:color="1B3A6B" w:sz="1"/>
              <w:left w:val="single" w:color="1B3A6B" w:sz="1"/>
              <w:bottom w:val="single" w:color="1B3A6B" w:sz="1"/>
              <w:right w:val="single" w:color="1B3A6B" w:sz="1"/>
            </w:tcBorders>
            <w:shd w:fill="EAF0FB" w:val="clear"/>
            <w:tcMar>
              <w:top w:type="dxa" w:w="80"/>
              <w:left w:type="dxa" w:w="120"/>
              <w:bottom w:type="dxa" w:w="80"/>
              <w:right w:type="dxa" w:w="120"/>
            </w:tcMar>
          </w:tcPr>
          <w:p>
            <w:pPr>
              <w:bidi/>
              <w:jc w:val="center"/>
            </w:pPr>
            <w:r>
              <w:rPr>
                <w:rFonts w:ascii="Arial" w:cs="Arial" w:eastAsia="Arial" w:hAnsi="Arial"/>
                <w:b/>
                <w:bCs/>
                <w:i w:val="false"/>
                <w:iCs w:val="false"/>
                <w:color w:val="1B3A6B"/>
                <w:sz w:val="20"/>
                <w:szCs w:val="20"/>
              </w:rPr>
              <w:t xml:space="preserve">المبيعات والتسويق</w:t>
            </w:r>
          </w:p>
          <w:p>
            <w:pPr>
              <w:bidi/>
              <w:jc w:val="center"/>
            </w:pPr>
            <w:r>
              <w:rPr>
                <w:rFonts w:ascii="Arial" w:cs="Arial" w:eastAsia="Arial" w:hAnsi="Arial"/>
                <w:b w:val="false"/>
                <w:bCs w:val="false"/>
                <w:i w:val="false"/>
                <w:iCs w:val="false"/>
                <w:color w:val="666666"/>
                <w:sz w:val="18"/>
                <w:szCs w:val="18"/>
              </w:rPr>
              <w:t xml:space="preserve">مدير المبيعات  |  فريق المبيعات</w:t>
            </w:r>
          </w:p>
        </w:tc>
        <w:tc>
          <w:tcPr>
            <w:tcW w:type="dxa" w:w="240"/>
            <w:tcBorders>
              <w:top w:val="none" w:sz="0"/>
              <w:left w:val="none" w:sz="0"/>
              <w:bottom w:val="none" w:sz="0"/>
              <w:right w:val="none" w:sz="0"/>
            </w:tcBorders>
          </w:tcPr>
          <w:p/>
        </w:tc>
        <w:tc>
          <w:tcPr>
            <w:tcW w:type="dxa" w:w="2800"/>
            <w:tcBorders>
              <w:top w:val="single" w:color="1B3A6B" w:sz="1"/>
              <w:left w:val="single" w:color="1B3A6B" w:sz="1"/>
              <w:bottom w:val="single" w:color="1B3A6B" w:sz="1"/>
              <w:right w:val="single" w:color="1B3A6B" w:sz="1"/>
            </w:tcBorders>
            <w:shd w:fill="EAF0FB" w:val="clear"/>
            <w:tcMar>
              <w:top w:type="dxa" w:w="80"/>
              <w:left w:type="dxa" w:w="120"/>
              <w:bottom w:type="dxa" w:w="80"/>
              <w:right w:type="dxa" w:w="120"/>
            </w:tcMar>
          </w:tcPr>
          <w:p>
            <w:pPr>
              <w:bidi/>
              <w:jc w:val="center"/>
            </w:pPr>
            <w:r>
              <w:rPr>
                <w:rFonts w:ascii="Arial" w:cs="Arial" w:eastAsia="Arial" w:hAnsi="Arial"/>
                <w:b/>
                <w:bCs/>
                <w:i w:val="false"/>
                <w:iCs w:val="false"/>
                <w:color w:val="1B3A6B"/>
                <w:sz w:val="20"/>
                <w:szCs w:val="20"/>
              </w:rPr>
              <w:t xml:space="preserve">المالية والمحاسبة</w:t>
            </w:r>
          </w:p>
          <w:p>
            <w:pPr>
              <w:bidi/>
              <w:jc w:val="center"/>
            </w:pPr>
            <w:r>
              <w:rPr>
                <w:rFonts w:ascii="Arial" w:cs="Arial" w:eastAsia="Arial" w:hAnsi="Arial"/>
                <w:b w:val="false"/>
                <w:bCs w:val="false"/>
                <w:i w:val="false"/>
                <w:iCs w:val="false"/>
                <w:color w:val="666666"/>
                <w:sz w:val="18"/>
                <w:szCs w:val="18"/>
              </w:rPr>
              <w:t xml:space="preserve">رئيس المحاسبة  |  محاسب أول وتنفيذي</w:t>
            </w:r>
          </w:p>
        </w:tc>
        <w:tc>
          <w:tcPr>
            <w:tcW w:type="dxa" w:w="240"/>
            <w:tcBorders>
              <w:top w:val="none" w:sz="0"/>
              <w:left w:val="none" w:sz="0"/>
              <w:bottom w:val="none" w:sz="0"/>
              <w:right w:val="none" w:sz="0"/>
            </w:tcBorders>
          </w:tcPr>
          <w:p/>
        </w:tc>
        <w:tc>
          <w:tcPr>
            <w:tcW w:type="dxa" w:w="3280"/>
            <w:tcBorders>
              <w:top w:val="single" w:color="1B3A6B" w:sz="1"/>
              <w:left w:val="single" w:color="1B3A6B" w:sz="1"/>
              <w:bottom w:val="single" w:color="1B3A6B" w:sz="1"/>
              <w:right w:val="single" w:color="1B3A6B" w:sz="1"/>
            </w:tcBorders>
            <w:shd w:fill="EAF0FB" w:val="clear"/>
            <w:tcMar>
              <w:top w:type="dxa" w:w="80"/>
              <w:left w:type="dxa" w:w="120"/>
              <w:bottom w:type="dxa" w:w="80"/>
              <w:right w:type="dxa" w:w="120"/>
            </w:tcMar>
          </w:tcPr>
          <w:p>
            <w:pPr>
              <w:bidi/>
              <w:jc w:val="center"/>
            </w:pPr>
            <w:r>
              <w:rPr>
                <w:rFonts w:ascii="Arial" w:cs="Arial" w:eastAsia="Arial" w:hAnsi="Arial"/>
                <w:b/>
                <w:bCs/>
                <w:i w:val="false"/>
                <w:iCs w:val="false"/>
                <w:color w:val="1B3A6B"/>
                <w:sz w:val="20"/>
                <w:szCs w:val="20"/>
              </w:rPr>
              <w:t xml:space="preserve">الهندسة المعمارية</w:t>
            </w:r>
          </w:p>
          <w:p>
            <w:pPr>
              <w:bidi/>
              <w:jc w:val="center"/>
            </w:pPr>
            <w:r>
              <w:rPr>
                <w:rFonts w:ascii="Arial" w:cs="Arial" w:eastAsia="Arial" w:hAnsi="Arial"/>
                <w:b w:val="false"/>
                <w:bCs w:val="false"/>
                <w:i w:val="false"/>
                <w:iCs w:val="false"/>
                <w:color w:val="666666"/>
                <w:sz w:val="18"/>
                <w:szCs w:val="18"/>
              </w:rPr>
              <w:t xml:space="preserve">مهندس معماري  |  فنيون أول ومساعدون</w:t>
            </w:r>
          </w:p>
        </w:tc>
      </w:tr>
    </w:tbl>
    <w:p>
      <w:pPr>
        <w:spacing w:after="0" w:before="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B3A6B" w:sz="1"/>
              <w:left w:val="single" w:color="1B3A6B" w:sz="1"/>
              <w:bottom w:val="single" w:color="1B3A6B" w:sz="1"/>
              <w:right w:val="single" w:color="1B3A6B" w:sz="1"/>
            </w:tcBorders>
            <w:shd w:fill="EAF0FB" w:val="clear"/>
            <w:tcMar>
              <w:top w:type="dxa" w:w="80"/>
              <w:left w:type="dxa" w:w="160"/>
              <w:bottom w:type="dxa" w:w="80"/>
              <w:right w:type="dxa" w:w="160"/>
            </w:tcMar>
          </w:tcPr>
          <w:p>
            <w:pPr>
              <w:bidi/>
              <w:jc w:val="center"/>
            </w:pPr>
            <w:r>
              <w:rPr>
                <w:rFonts w:ascii="Arial" w:cs="Arial" w:eastAsia="Arial" w:hAnsi="Arial"/>
                <w:b/>
                <w:bCs/>
                <w:i w:val="false"/>
                <w:iCs w:val="false"/>
                <w:color w:val="1B3A6B"/>
                <w:sz w:val="20"/>
                <w:szCs w:val="20"/>
              </w:rPr>
              <w:t xml:space="preserve">عمليات الموقع — مهندس الموقع التنفيذي</w:t>
            </w:r>
          </w:p>
          <w:p>
            <w:pPr>
              <w:bidi/>
              <w:jc w:val="center"/>
            </w:pPr>
            <w:r>
              <w:rPr>
                <w:rFonts w:ascii="Arial" w:cs="Arial" w:eastAsia="Arial" w:hAnsi="Arial"/>
                <w:b w:val="false"/>
                <w:bCs w:val="false"/>
                <w:i w:val="false"/>
                <w:iCs w:val="false"/>
                <w:color w:val="666666"/>
                <w:sz w:val="18"/>
                <w:szCs w:val="18"/>
              </w:rPr>
              <w:t xml:space="preserve">مثبّتون ميكانيكيون أول  |  فنيون ميكانيكيون  |  مساعدون</w:t>
            </w:r>
          </w:p>
        </w:tc>
      </w:tr>
    </w:tbl>
    <w:p>
      <w:pPr>
        <w:spacing w:after="0" w:before="60"/>
      </w:pPr>
    </w:p>
    <w:p>
      <w:pPr>
        <w:bidi/>
        <w:spacing w:after="80" w:before="80"/>
        <w:jc w:val="right"/>
      </w:pPr>
      <w:r>
        <w:rPr>
          <w:rFonts w:ascii="Arial" w:cs="Arial" w:eastAsia="Arial" w:hAnsi="Arial"/>
          <w:b w:val="false"/>
          <w:bCs w:val="false"/>
          <w:i/>
          <w:iCs/>
          <w:color w:val="666666"/>
          <w:sz w:val="22"/>
          <w:szCs w:val="22"/>
        </w:rPr>
        <w:t xml:space="preserve">ملاحظة: يخضع الهيكل التنظيمي للتغيير في أي وقت وفق متطلبات الشركة ومتطلبات المشاريع.</w:t>
      </w:r>
    </w:p>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الأدوار والمسؤوليات الرئيسية</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360"/>
        <w:gridCol w:w="2000"/>
      </w:tblGrid>
      <w:tr>
        <w:tc>
          <w:tcPr>
            <w:tcW w:type="dxa" w:w="7360"/>
            <w:tcBorders>
              <w:top w:val="none"/>
              <w:left w:val="none"/>
              <w:bottom w:val="single" w:color="CCCCCC" w:sz="1"/>
              <w:right w:val="none"/>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التخطيط، وضع الجداول الزمنية، التنسيق مع العميل، التسليم، وإعداد واعتماد إجراءات العمل.</w:t>
            </w:r>
          </w:p>
        </w:tc>
        <w:tc>
          <w:tcPr>
            <w:tcW w:type="dxa" w:w="2000"/>
            <w:tcBorders>
              <w:top w:val="none"/>
              <w:left w:val="none"/>
              <w:bottom w:val="single" w:color="CCCCCC" w:sz="1"/>
              <w:right w:val="none"/>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مدير المشروع</w:t>
            </w:r>
          </w:p>
        </w:tc>
      </w:tr>
      <w:tr>
        <w:tc>
          <w:tcPr>
            <w:tcW w:type="dxa" w:w="7360"/>
            <w:tcBorders>
              <w:top w:val="none"/>
              <w:left w:val="none"/>
              <w:bottom w:val="single" w:color="CCCCCC" w:sz="1"/>
              <w:right w:val="none"/>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تركيب المكوّنات وفق الجدول الزمني، قيادة الفريق، وإعداد تقارير الفحص.</w:t>
            </w:r>
          </w:p>
        </w:tc>
        <w:tc>
          <w:tcPr>
            <w:tcW w:type="dxa" w:w="2000"/>
            <w:tcBorders>
              <w:top w:val="none"/>
              <w:left w:val="none"/>
              <w:bottom w:val="single" w:color="CCCCCC" w:sz="1"/>
              <w:right w:val="none"/>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مهندس الموقع</w:t>
            </w:r>
          </w:p>
        </w:tc>
      </w:tr>
      <w:tr>
        <w:tc>
          <w:tcPr>
            <w:tcW w:type="dxa" w:w="7360"/>
            <w:tcBorders>
              <w:top w:val="none"/>
              <w:left w:val="none"/>
              <w:bottom w:val="single" w:color="CCCCCC" w:sz="1"/>
              <w:right w:val="none"/>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الإشراف على التصنيع، فحص المكوّنات قبل التوريد، والتنسيق بشأن مواعيد التسليم.</w:t>
            </w:r>
          </w:p>
        </w:tc>
        <w:tc>
          <w:tcPr>
            <w:tcW w:type="dxa" w:w="2000"/>
            <w:tcBorders>
              <w:top w:val="none"/>
              <w:left w:val="none"/>
              <w:bottom w:val="single" w:color="CCCCCC" w:sz="1"/>
              <w:right w:val="none"/>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مهندس التصنيع</w:t>
            </w:r>
          </w:p>
        </w:tc>
      </w:tr>
      <w:tr>
        <w:tc>
          <w:tcPr>
            <w:tcW w:type="dxa" w:w="7360"/>
            <w:tcBorders>
              <w:top w:val="none"/>
              <w:left w:val="none"/>
              <w:bottom w:val="single" w:color="CCCCCC" w:sz="1"/>
              <w:right w:val="none"/>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إعداد واعتماد رسومات التنفيذ ومقدمات المواد وبيانات منهجية العمل.</w:t>
            </w:r>
          </w:p>
        </w:tc>
        <w:tc>
          <w:tcPr>
            <w:tcW w:type="dxa" w:w="2000"/>
            <w:tcBorders>
              <w:top w:val="none"/>
              <w:left w:val="none"/>
              <w:bottom w:val="single" w:color="CCCCCC" w:sz="1"/>
              <w:right w:val="none"/>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المكتب الفني</w:t>
            </w:r>
          </w:p>
        </w:tc>
      </w:tr>
      <w:tr>
        <w:tc>
          <w:tcPr>
            <w:tcW w:type="dxa" w:w="7360"/>
            <w:tcBorders>
              <w:top w:val="none"/>
              <w:left w:val="none"/>
              <w:bottom w:val="none"/>
              <w:right w:val="none"/>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20"/>
                <w:szCs w:val="20"/>
              </w:rPr>
              <w:t xml:space="preserve">فحص واختبار المكوّنات قبل التوريد والتحقق من مطابقة المواد للمواصفات.</w:t>
            </w:r>
          </w:p>
        </w:tc>
        <w:tc>
          <w:tcPr>
            <w:tcW w:type="dxa" w:w="2000"/>
            <w:tcBorders>
              <w:top w:val="none"/>
              <w:left w:val="none"/>
              <w:bottom w:val="none"/>
              <w:right w:val="none"/>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ضمان الجودة</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الجودة والصحة والسلامة والبيئة</w:t>
      </w:r>
    </w:p>
    <w:p>
      <w:pPr>
        <w:spacing w:after="0" w:before="120"/>
      </w:pPr>
    </w:p>
    <w:p>
      <w:pPr>
        <w:bidi/>
        <w:spacing w:after="80" w:before="80"/>
        <w:jc w:val="right"/>
      </w:pPr>
      <w:r>
        <w:rPr>
          <w:rFonts w:ascii="Arial" w:cs="Arial" w:eastAsia="Arial" w:hAnsi="Arial"/>
          <w:b w:val="false"/>
          <w:bCs w:val="false"/>
          <w:i w:val="false"/>
          <w:iCs w:val="false"/>
          <w:color w:val="333333"/>
          <w:sz w:val="22"/>
          <w:szCs w:val="22"/>
        </w:rPr>
        <w:t xml:space="preserve">تلتزم بنيان بتطبيق نظام إدارة الجودة وخطة جودة المشروع في جميع أعمالها. تُحكم جميع الأنشطة الأطر التالية:</w:t>
      </w:r>
    </w:p>
    <w:p>
      <w:pPr>
        <w:spacing w:after="0"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
        <w:gridCol w:w="2200"/>
        <w:gridCol w:w="240"/>
        <w:gridCol w:w="2200"/>
        <w:gridCol w:w="240"/>
        <w:gridCol w:w="2280"/>
      </w:tblGrid>
      <w:tr>
        <w:tc>
          <w:tcPr>
            <w:tcW w:type="dxa" w:w="22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1B3A6B"/>
                <w:sz w:val="18"/>
                <w:szCs w:val="18"/>
              </w:rPr>
              <w:t xml:space="preserve">نظام إدارة الجودة</w:t>
            </w:r>
          </w:p>
        </w:tc>
        <w:tc>
          <w:tcPr>
            <w:tcW w:type="dxa" w:w="240"/>
            <w:tcBorders>
              <w:top w:val="none" w:sz="0"/>
              <w:left w:val="none" w:sz="0"/>
              <w:bottom w:val="none" w:sz="0"/>
              <w:right w:val="none" w:sz="0"/>
            </w:tcBorders>
          </w:tcPr>
          <w:p/>
        </w:tc>
        <w:tc>
          <w:tcPr>
            <w:tcW w:type="dxa" w:w="22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1B3A6B"/>
                <w:sz w:val="18"/>
                <w:szCs w:val="18"/>
              </w:rPr>
              <w:t xml:space="preserve">خطة جودة المشروع</w:t>
            </w:r>
          </w:p>
        </w:tc>
        <w:tc>
          <w:tcPr>
            <w:tcW w:type="dxa" w:w="240"/>
            <w:tcBorders>
              <w:top w:val="none" w:sz="0"/>
              <w:left w:val="none" w:sz="0"/>
              <w:bottom w:val="none" w:sz="0"/>
              <w:right w:val="none" w:sz="0"/>
            </w:tcBorders>
          </w:tcPr>
          <w:p/>
        </w:tc>
        <w:tc>
          <w:tcPr>
            <w:tcW w:type="dxa" w:w="220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1B3A6B"/>
                <w:sz w:val="18"/>
                <w:szCs w:val="18"/>
              </w:rPr>
              <w:t xml:space="preserve">خطة الصحة والسلامة والبيئة</w:t>
            </w:r>
          </w:p>
        </w:tc>
        <w:tc>
          <w:tcPr>
            <w:tcW w:type="dxa" w:w="240"/>
            <w:tcBorders>
              <w:top w:val="none" w:sz="0"/>
              <w:left w:val="none" w:sz="0"/>
              <w:bottom w:val="none" w:sz="0"/>
              <w:right w:val="none" w:sz="0"/>
            </w:tcBorders>
          </w:tcPr>
          <w:p/>
        </w:tc>
        <w:tc>
          <w:tcPr>
            <w:tcW w:type="dxa" w:w="2280"/>
            <w:tcBorders>
              <w:top w:val="single" w:color="1B3A6B" w:sz="1"/>
              <w:left w:val="single" w:color="1B3A6B" w:sz="1"/>
              <w:bottom w:val="single" w:color="1B3A6B" w:sz="1"/>
              <w:right w:val="single" w:color="1B3A6B" w:sz="1"/>
            </w:tcBorders>
            <w:shd w:fill="EAF0FB" w:val="clear"/>
            <w:tcMar>
              <w:top w:type="dxa" w:w="100"/>
              <w:left w:type="dxa" w:w="120"/>
              <w:bottom w:type="dxa" w:w="100"/>
              <w:right w:type="dxa" w:w="120"/>
            </w:tcMar>
            <w:vAlign w:val="center"/>
          </w:tcPr>
          <w:p>
            <w:pPr>
              <w:bidi/>
              <w:jc w:val="center"/>
            </w:pPr>
            <w:r>
              <w:rPr>
                <w:rFonts w:ascii="Arial" w:cs="Arial" w:eastAsia="Arial" w:hAnsi="Arial"/>
                <w:b w:val="false"/>
                <w:bCs w:val="false"/>
                <w:i w:val="false"/>
                <w:iCs w:val="false"/>
                <w:color w:val="C8960C"/>
                <w:sz w:val="28"/>
                <w:szCs w:val="28"/>
              </w:rPr>
              <w:t xml:space="preserve">✔</w:t>
            </w:r>
          </w:p>
          <w:p>
            <w:pPr>
              <w:bidi/>
              <w:jc w:val="center"/>
            </w:pPr>
            <w:r>
              <w:rPr>
                <w:rFonts w:ascii="Arial" w:cs="Arial" w:eastAsia="Arial" w:hAnsi="Arial"/>
                <w:b/>
                <w:bCs/>
                <w:i w:val="false"/>
                <w:iCs w:val="false"/>
                <w:color w:val="1B3A6B"/>
                <w:sz w:val="18"/>
                <w:szCs w:val="18"/>
              </w:rPr>
              <w:t xml:space="preserve">مواصفات المشروع</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المشاريع المرجعية</w:t>
      </w:r>
    </w:p>
    <w:p>
      <w:pPr>
        <w:spacing w:after="0" w:before="120"/>
      </w:pPr>
    </w:p>
    <w:p>
      <w:pPr>
        <w:bidi/>
        <w:spacing w:after="80" w:before="80"/>
        <w:jc w:val="right"/>
      </w:pPr>
      <w:r>
        <w:rPr>
          <w:rFonts w:ascii="Arial" w:cs="Arial" w:eastAsia="Arial" w:hAnsi="Arial"/>
          <w:b w:val="false"/>
          <w:bCs w:val="false"/>
          <w:i w:val="false"/>
          <w:iCs w:val="false"/>
          <w:color w:val="333333"/>
          <w:sz w:val="22"/>
          <w:szCs w:val="22"/>
        </w:rPr>
        <w:t xml:space="preserve">نفّذت بنيان بنجاح أعمال الجرانيت والأحجار في مشاريع كبرى بارزة في مصر، تشمل قطاعات البنية التحتية والحكومية والتجارية:</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560"/>
        <w:gridCol w:w="2400"/>
        <w:gridCol w:w="3600"/>
      </w:tblGrid>
      <w:tr>
        <w:tc>
          <w:tcPr>
            <w:tcW w:type="dxa" w:w="800"/>
            <w:tcBorders>
              <w:top w:val="none" w:sz="0"/>
              <w:left w:val="none" w:sz="0"/>
              <w:bottom w:val="none" w:sz="0"/>
              <w:right w:val="none" w:sz="0"/>
            </w:tcBorders>
            <w:shd w:fill="1B3A6B" w:val="clear"/>
            <w:tcMar>
              <w:top w:type="dxa" w:w="80"/>
              <w:left w:type="dxa" w:w="120"/>
              <w:bottom w:type="dxa" w:w="80"/>
              <w:right w:type="dxa" w:w="120"/>
            </w:tcMar>
          </w:tcPr>
          <w:p>
            <w:pPr>
              <w:bidi/>
              <w:jc w:val="center"/>
            </w:pPr>
            <w:r>
              <w:rPr>
                <w:rFonts w:ascii="Arial" w:cs="Arial" w:eastAsia="Arial" w:hAnsi="Arial"/>
                <w:b/>
                <w:bCs/>
                <w:i w:val="false"/>
                <w:iCs w:val="false"/>
                <w:color w:val="FFFFFF"/>
                <w:sz w:val="20"/>
                <w:szCs w:val="20"/>
              </w:rPr>
              <w:t xml:space="preserve">السنة</w:t>
            </w:r>
          </w:p>
        </w:tc>
        <w:tc>
          <w:tcPr>
            <w:tcW w:type="dxa" w:w="2560"/>
            <w:tcBorders>
              <w:top w:val="none" w:sz="0"/>
              <w:left w:val="none" w:sz="0"/>
              <w:bottom w:val="none" w:sz="0"/>
              <w:right w:val="none" w:sz="0"/>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النطاق</w:t>
            </w:r>
          </w:p>
        </w:tc>
        <w:tc>
          <w:tcPr>
            <w:tcW w:type="dxa" w:w="2400"/>
            <w:tcBorders>
              <w:top w:val="none" w:sz="0"/>
              <w:left w:val="none" w:sz="0"/>
              <w:bottom w:val="none" w:sz="0"/>
              <w:right w:val="none" w:sz="0"/>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العميل / المقاول</w:t>
            </w:r>
          </w:p>
        </w:tc>
        <w:tc>
          <w:tcPr>
            <w:tcW w:type="dxa" w:w="3600"/>
            <w:tcBorders>
              <w:top w:val="none" w:sz="0"/>
              <w:left w:val="none" w:sz="0"/>
              <w:bottom w:val="none" w:sz="0"/>
              <w:right w:val="none" w:sz="0"/>
            </w:tcBorders>
            <w:shd w:fill="1B3A6B" w:val="clear"/>
            <w:tcMar>
              <w:top w:type="dxa" w:w="80"/>
              <w:left w:type="dxa" w:w="120"/>
              <w:bottom w:type="dxa" w:w="80"/>
              <w:right w:type="dxa" w:w="120"/>
            </w:tcMar>
          </w:tcPr>
          <w:p>
            <w:pPr>
              <w:bidi/>
              <w:jc w:val="right"/>
            </w:pPr>
            <w:r>
              <w:rPr>
                <w:rFonts w:ascii="Arial" w:cs="Arial" w:eastAsia="Arial" w:hAnsi="Arial"/>
                <w:b/>
                <w:bCs/>
                <w:i w:val="false"/>
                <w:iCs w:val="false"/>
                <w:color w:val="FFFFFF"/>
                <w:sz w:val="20"/>
                <w:szCs w:val="20"/>
              </w:rPr>
              <w:t xml:space="preserve">المشروع</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2024</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رخام وجرانيت — محطة أوكتاغون</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CREC-AVIC INTL / إيدكس</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مشروع القطار الخفيف (LRT) — العاشر من رمضان</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توريد وتركيب جرانيت فاخر</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القوات المسلحة المصرية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القصر الجمهوري بالعالمين</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أعمال حجر وتشطيبات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هيئة العاصمة الإدارية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المنصورة 5 — العاصمة الإدارية الجديدة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كسوة وأرضيات جرانيت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القوات الجوية المصرية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رئاسة القوات الجوية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أعمال جرانيت ورخام داخلية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القوات المسلحة المصرية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كلية الطب القوات المسلحة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2021–</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تشطيب وأعمال O&amp;M</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القوات المسلحة المصرية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مستشفى كلية الطب القوات المسلحة</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2020–</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مقاولات وتوريدات</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هيئة المهندسين العسكريين</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مشاريع المهندسين العسكريين</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2022–</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أرضيات وكسوة جرانيت كاملة</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مطوّر خاص</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مشروع شبح الريان</w:t>
            </w:r>
          </w:p>
        </w:tc>
      </w:tr>
      <w:tr>
        <w:tc>
          <w:tcPr>
            <w:tcW w:type="dxa" w:w="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center"/>
            </w:pPr>
            <w:r>
              <w:rPr>
                <w:rFonts w:ascii="Arial" w:cs="Arial" w:eastAsia="Arial" w:hAnsi="Arial"/>
                <w:b w:val="false"/>
                <w:bCs w:val="false"/>
                <w:i w:val="false"/>
                <w:iCs w:val="false"/>
                <w:color w:val="666666"/>
                <w:sz w:val="19"/>
                <w:szCs w:val="19"/>
              </w:rPr>
              <w:t xml:space="preserve">مستمر</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استخراج ومعالجة وتوريد</w:t>
            </w:r>
          </w:p>
        </w:tc>
        <w:tc>
          <w:tcPr>
            <w:tcW w:type="dxa" w:w="2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val="false"/>
                <w:bCs w:val="false"/>
                <w:i w:val="false"/>
                <w:iCs w:val="false"/>
                <w:color w:val="333333"/>
                <w:sz w:val="19"/>
                <w:szCs w:val="19"/>
              </w:rPr>
              <w:t xml:space="preserve">بنيان — عمليات ذاتية</w:t>
            </w:r>
          </w:p>
        </w:tc>
        <w:tc>
          <w:tcPr>
            <w:tcW w:type="dxa" w:w="3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bidi/>
              <w:jc w:val="right"/>
            </w:pPr>
            <w:r>
              <w:rPr>
                <w:rFonts w:ascii="Arial" w:cs="Arial" w:eastAsia="Arial" w:hAnsi="Arial"/>
                <w:b/>
                <w:bCs/>
                <w:i w:val="false"/>
                <w:iCs w:val="false"/>
                <w:color w:val="1B3A6B"/>
                <w:sz w:val="19"/>
                <w:szCs w:val="19"/>
              </w:rPr>
              <w:t xml:space="preserve">محاجر أسوان ومرسى علم</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لماذا تختار بنيان؟</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60"/>
        <w:gridCol w:w="240"/>
        <w:gridCol w:w="4560"/>
      </w:tblGrid>
      <w:tr>
        <w:tc>
          <w:tcPr>
            <w:tcW w:type="dxa" w:w="4560"/>
            <w:tcBorders>
              <w:top w:val="single" w:color="1B3A6B" w:sz="4"/>
              <w:left w:val="single" w:color="1B3A6B" w:sz="4"/>
              <w:bottom w:val="single" w:color="1B3A6B" w:sz="4"/>
              <w:right w:val="single" w:color="1B3A6B" w:sz="4"/>
            </w:tcBorders>
            <w:shd w:fill="EAF0FB" w:val="clear"/>
            <w:tcMar>
              <w:top w:type="dxa" w:w="120"/>
              <w:left w:type="dxa" w:w="160"/>
              <w:bottom w:type="dxa" w:w="120"/>
              <w:right w:type="dxa" w:w="160"/>
            </w:tcMar>
          </w:tcPr>
          <w:p>
            <w:pPr>
              <w:bidi/>
              <w:spacing w:after="60" w:before="0"/>
              <w:jc w:val="right"/>
            </w:pPr>
            <w:r>
              <w:rPr>
                <w:rFonts w:ascii="Arial" w:cs="Arial" w:eastAsia="Arial" w:hAnsi="Arial"/>
                <w:b/>
                <w:bCs/>
                <w:i w:val="false"/>
                <w:iCs w:val="false"/>
                <w:color w:val="1B3A6B"/>
                <w:sz w:val="22"/>
                <w:szCs w:val="22"/>
              </w:rPr>
              <w:t xml:space="preserve">وصول مباشر للمحاجر</w:t>
            </w:r>
          </w:p>
          <w:p>
            <w:pPr>
              <w:bidi/>
              <w:jc w:val="right"/>
            </w:pPr>
            <w:r>
              <w:rPr>
                <w:rFonts w:ascii="Arial" w:cs="Arial" w:eastAsia="Arial" w:hAnsi="Arial"/>
                <w:b w:val="false"/>
                <w:bCs w:val="false"/>
                <w:i w:val="false"/>
                <w:iCs w:val="false"/>
                <w:color w:val="333333"/>
                <w:sz w:val="20"/>
                <w:szCs w:val="20"/>
              </w:rPr>
              <w:t xml:space="preserve">عمليات استخراج مباشرة في أسوان ومرسى علم تضمن جودة ثابتة وأسعاراً تنافسية وإمداداً متواصلاً.</w:t>
            </w:r>
          </w:p>
        </w:tc>
        <w:tc>
          <w:tcPr>
            <w:tcW w:type="dxa" w:w="240"/>
            <w:tcBorders>
              <w:top w:val="none" w:sz="0"/>
              <w:left w:val="none" w:sz="0"/>
              <w:bottom w:val="none" w:sz="0"/>
              <w:right w:val="none" w:sz="0"/>
            </w:tcBorders>
          </w:tcPr>
          <w:p/>
        </w:tc>
        <w:tc>
          <w:tcPr>
            <w:tcW w:type="dxa" w:w="4560"/>
            <w:tcBorders>
              <w:top w:val="single" w:color="C8960C" w:sz="4"/>
              <w:left w:val="single" w:color="C8960C" w:sz="4"/>
              <w:bottom w:val="single" w:color="C8960C" w:sz="4"/>
              <w:right w:val="single" w:color="C8960C" w:sz="4"/>
            </w:tcBorders>
            <w:shd w:fill="FDF6E3" w:val="clear"/>
            <w:tcMar>
              <w:top w:type="dxa" w:w="120"/>
              <w:left w:type="dxa" w:w="160"/>
              <w:bottom w:type="dxa" w:w="120"/>
              <w:right w:type="dxa" w:w="160"/>
            </w:tcMar>
          </w:tcPr>
          <w:p>
            <w:pPr>
              <w:bidi/>
              <w:spacing w:after="60" w:before="0"/>
              <w:jc w:val="right"/>
            </w:pPr>
            <w:r>
              <w:rPr>
                <w:rFonts w:ascii="Arial" w:cs="Arial" w:eastAsia="Arial" w:hAnsi="Arial"/>
                <w:b/>
                <w:bCs/>
                <w:i w:val="false"/>
                <w:iCs w:val="false"/>
                <w:color w:val="1B3A6B"/>
                <w:sz w:val="22"/>
                <w:szCs w:val="22"/>
              </w:rPr>
              <w:t xml:space="preserve">سجل حافل بالإنجازات</w:t>
            </w:r>
          </w:p>
          <w:p>
            <w:pPr>
              <w:bidi/>
              <w:jc w:val="right"/>
            </w:pPr>
            <w:r>
              <w:rPr>
                <w:rFonts w:ascii="Arial" w:cs="Arial" w:eastAsia="Arial" w:hAnsi="Arial"/>
                <w:b w:val="false"/>
                <w:bCs w:val="false"/>
                <w:i w:val="false"/>
                <w:iCs w:val="false"/>
                <w:color w:val="333333"/>
                <w:sz w:val="20"/>
                <w:szCs w:val="20"/>
              </w:rPr>
              <w:t xml:space="preserve">مشاريع ناجحة لعملاء حكوميين وعسكريين وخاصين في أبرز التطويرات في مصر.</w:t>
            </w:r>
          </w:p>
        </w:tc>
      </w:tr>
      <w:tr>
        <w:tc>
          <w:tcPr>
            <w:tcW w:type="dxa" w:w="9360"/>
            <w:tcBorders>
              <w:top w:val="none" w:sz="0"/>
              <w:left w:val="none" w:sz="0"/>
              <w:bottom w:val="none" w:sz="0"/>
              <w:right w:val="none" w:sz="0"/>
            </w:tcBorders>
          </w:tcPr>
          <w:p>
            <w:pPr>
              <w:spacing w:before="120"/>
            </w:pPr>
          </w:p>
        </w:tc>
      </w:tr>
      <w:tr>
        <w:tc>
          <w:tcPr>
            <w:tcW w:type="dxa" w:w="4560"/>
            <w:tcBorders>
              <w:top w:val="single" w:color="C8960C" w:sz="4"/>
              <w:left w:val="single" w:color="C8960C" w:sz="4"/>
              <w:bottom w:val="single" w:color="C8960C" w:sz="4"/>
              <w:right w:val="single" w:color="C8960C" w:sz="4"/>
            </w:tcBorders>
            <w:shd w:fill="FDF6E3" w:val="clear"/>
            <w:tcMar>
              <w:top w:type="dxa" w:w="120"/>
              <w:left w:type="dxa" w:w="160"/>
              <w:bottom w:type="dxa" w:w="120"/>
              <w:right w:type="dxa" w:w="160"/>
            </w:tcMar>
          </w:tcPr>
          <w:p>
            <w:pPr>
              <w:bidi/>
              <w:spacing w:after="60" w:before="0"/>
              <w:jc w:val="right"/>
            </w:pPr>
            <w:r>
              <w:rPr>
                <w:rFonts w:ascii="Arial" w:cs="Arial" w:eastAsia="Arial" w:hAnsi="Arial"/>
                <w:b/>
                <w:bCs/>
                <w:i w:val="false"/>
                <w:iCs w:val="false"/>
                <w:color w:val="1B3A6B"/>
                <w:sz w:val="22"/>
                <w:szCs w:val="22"/>
              </w:rPr>
              <w:t xml:space="preserve">قدرة متكاملة</w:t>
            </w:r>
          </w:p>
          <w:p>
            <w:pPr>
              <w:bidi/>
              <w:jc w:val="right"/>
            </w:pPr>
            <w:r>
              <w:rPr>
                <w:rFonts w:ascii="Arial" w:cs="Arial" w:eastAsia="Arial" w:hAnsi="Arial"/>
                <w:b w:val="false"/>
                <w:bCs w:val="false"/>
                <w:i w:val="false"/>
                <w:iCs w:val="false"/>
                <w:color w:val="333333"/>
                <w:sz w:val="20"/>
                <w:szCs w:val="20"/>
              </w:rPr>
              <w:t xml:space="preserve">من المحجر إلى التركيب فالصيانة المستمرة، تُوفّر بنيان نقطة مسؤولية واحدة لكل مشروع.</w:t>
            </w:r>
          </w:p>
        </w:tc>
        <w:tc>
          <w:tcPr>
            <w:tcW w:type="dxa" w:w="240"/>
            <w:tcBorders>
              <w:top w:val="none" w:sz="0"/>
              <w:left w:val="none" w:sz="0"/>
              <w:bottom w:val="none" w:sz="0"/>
              <w:right w:val="none" w:sz="0"/>
            </w:tcBorders>
          </w:tcPr>
          <w:p/>
        </w:tc>
        <w:tc>
          <w:tcPr>
            <w:tcW w:type="dxa" w:w="4560"/>
            <w:tcBorders>
              <w:top w:val="single" w:color="1B3A6B" w:sz="4"/>
              <w:left w:val="single" w:color="1B3A6B" w:sz="4"/>
              <w:bottom w:val="single" w:color="1B3A6B" w:sz="4"/>
              <w:right w:val="single" w:color="1B3A6B" w:sz="4"/>
            </w:tcBorders>
            <w:shd w:fill="EAF0FB" w:val="clear"/>
            <w:tcMar>
              <w:top w:type="dxa" w:w="120"/>
              <w:left w:type="dxa" w:w="160"/>
              <w:bottom w:type="dxa" w:w="120"/>
              <w:right w:type="dxa" w:w="160"/>
            </w:tcMar>
          </w:tcPr>
          <w:p>
            <w:pPr>
              <w:bidi/>
              <w:spacing w:after="60" w:before="0"/>
              <w:jc w:val="right"/>
            </w:pPr>
            <w:r>
              <w:rPr>
                <w:rFonts w:ascii="Arial" w:cs="Arial" w:eastAsia="Arial" w:hAnsi="Arial"/>
                <w:b/>
                <w:bCs/>
                <w:i w:val="false"/>
                <w:iCs w:val="false"/>
                <w:color w:val="1B3A6B"/>
                <w:sz w:val="22"/>
                <w:szCs w:val="22"/>
              </w:rPr>
              <w:t xml:space="preserve">التركيز على الجودة والسلامة</w:t>
            </w:r>
          </w:p>
          <w:p>
            <w:pPr>
              <w:bidi/>
              <w:jc w:val="right"/>
            </w:pPr>
            <w:r>
              <w:rPr>
                <w:rFonts w:ascii="Arial" w:cs="Arial" w:eastAsia="Arial" w:hAnsi="Arial"/>
                <w:b w:val="false"/>
                <w:bCs w:val="false"/>
                <w:i w:val="false"/>
                <w:iCs w:val="false"/>
                <w:color w:val="333333"/>
                <w:sz w:val="20"/>
                <w:szCs w:val="20"/>
              </w:rPr>
              <w:t xml:space="preserve">الالتزام الصارم بنظام إدارة الجودة وخطة HSE ومواصفات المشروع في كل تعاقد.</w:t>
            </w:r>
          </w:p>
        </w:tc>
      </w:tr>
    </w:tbl>
    <w:p>
      <w:pPr>
        <w:spacing w:after="0" w:before="200"/>
      </w:pPr>
    </w:p>
    <w:p>
      <w:pPr>
        <w:pBdr>
          <w:bottom w:val="single" w:color="C8960C" w:sz="8" w:space="6"/>
        </w:pBdr>
        <w:bidi/>
        <w:spacing w:after="120" w:before="360"/>
        <w:jc w:val="right"/>
      </w:pPr>
      <w:r>
        <w:rPr>
          <w:rFonts w:ascii="Arial" w:cs="Arial" w:eastAsia="Arial" w:hAnsi="Arial"/>
          <w:b/>
          <w:bCs/>
          <w:i w:val="false"/>
          <w:iCs w:val="false"/>
          <w:color w:val="1B3A6B"/>
          <w:sz w:val="28"/>
          <w:szCs w:val="28"/>
        </w:rPr>
        <w:t xml:space="preserve">تواصل معنا</w:t>
      </w:r>
    </w:p>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sz="0"/>
              <w:left w:val="none" w:sz="0"/>
              <w:bottom w:val="none" w:sz="0"/>
              <w:right w:val="none" w:sz="0"/>
            </w:tcBorders>
            <w:shd w:fill="1B3A6B" w:val="clear"/>
            <w:tcMar>
              <w:top w:type="dxa" w:w="240"/>
              <w:left w:type="dxa" w:w="360"/>
              <w:bottom w:type="dxa" w:w="240"/>
              <w:right w:type="dxa" w:w="360"/>
            </w:tcMar>
          </w:tcPr>
          <w:p>
            <w:pPr>
              <w:bidi/>
              <w:spacing w:after="80" w:before="0"/>
              <w:jc w:val="center"/>
            </w:pPr>
            <w:r>
              <w:rPr>
                <w:rFonts w:ascii="Arial" w:cs="Arial" w:eastAsia="Arial" w:hAnsi="Arial"/>
                <w:b/>
                <w:bCs/>
                <w:i w:val="false"/>
                <w:iCs w:val="false"/>
                <w:color w:val="FFFFFF"/>
                <w:sz w:val="32"/>
                <w:szCs w:val="32"/>
              </w:rPr>
              <w:t xml:space="preserve">بنيان للتوريدات والمقاولات</w:t>
            </w:r>
          </w:p>
          <w:p>
            <w:pPr>
              <w:bidi/>
              <w:spacing w:after="80" w:before="0"/>
              <w:jc w:val="center"/>
            </w:pPr>
            <w:r>
              <w:rPr>
                <w:rFonts w:ascii="Arial" w:cs="Arial" w:eastAsia="Arial" w:hAnsi="Arial"/>
                <w:b w:val="false"/>
                <w:bCs w:val="false"/>
                <w:i w:val="false"/>
                <w:iCs w:val="false"/>
                <w:color w:val="C8960C"/>
                <w:sz w:val="22"/>
                <w:szCs w:val="22"/>
              </w:rPr>
              <w:t xml:space="preserve">BONYAN Contracting &amp; Supplies</w:t>
            </w:r>
          </w:p>
          <w:p>
            <w:pPr>
              <w:bidi/>
              <w:spacing w:after="160" w:before="0"/>
              <w:jc w:val="center"/>
            </w:pPr>
            <w:r>
              <w:rPr>
                <w:rFonts w:ascii="Arial" w:cs="Arial" w:eastAsia="Arial" w:hAnsi="Arial"/>
                <w:b w:val="false"/>
                <w:bCs w:val="false"/>
                <w:i w:val="false"/>
                <w:iCs w:val="false"/>
                <w:color w:val="C8960C"/>
                <w:sz w:val="20"/>
                <w:szCs w:val="20"/>
              </w:rPr>
              <w:t xml:space="preserve">قطاع المشروعات</w:t>
            </w:r>
          </w:p>
          <w:p>
            <w:pPr>
              <w:bidi/>
              <w:jc w:val="center"/>
            </w:pPr>
            <w:r>
              <w:rPr>
                <w:rFonts w:ascii="Arial" w:cs="Arial" w:eastAsia="Arial" w:hAnsi="Arial"/>
                <w:b w:val="false"/>
                <w:bCs w:val="false"/>
                <w:i w:val="false"/>
                <w:iCs w:val="false"/>
                <w:color w:val="CCDDEE"/>
                <w:sz w:val="20"/>
                <w:szCs w:val="20"/>
              </w:rPr>
              <w:t xml:space="preserve">المبنى 21، الطابق الرابع، شقة 405، مدينة نصر، القاهرة، مصر</w:t>
            </w:r>
          </w:p>
          <w:p>
            <w:pPr>
              <w:bidi/>
              <w:jc w:val="center"/>
            </w:pPr>
            <w:r>
              <w:rPr>
                <w:rFonts w:ascii="Arial" w:cs="Arial" w:eastAsia="Arial" w:hAnsi="Arial"/>
                <w:b w:val="false"/>
                <w:bCs w:val="false"/>
                <w:i w:val="false"/>
                <w:iCs w:val="false"/>
                <w:color w:val="CCDDEE"/>
                <w:sz w:val="20"/>
                <w:szCs w:val="20"/>
              </w:rPr>
              <w:t xml:space="preserve">هاتف: 01116777763  |  02222622490</w:t>
            </w:r>
          </w:p>
          <w:p>
            <w:pPr>
              <w:bidi/>
              <w:jc w:val="center"/>
            </w:pPr>
            <w:r>
              <w:rPr>
                <w:rFonts w:ascii="Arial" w:cs="Arial" w:eastAsia="Arial" w:hAnsi="Arial"/>
                <w:b w:val="false"/>
                <w:bCs w:val="false"/>
                <w:i w:val="false"/>
                <w:iCs w:val="false"/>
                <w:color w:val="C8960C"/>
                <w:sz w:val="20"/>
                <w:szCs w:val="20"/>
              </w:rPr>
              <w:t xml:space="preserve">البريد الإلكتروني: ali.helally@Bonyaneg.com</w:t>
            </w:r>
          </w:p>
          <w:p>
            <w:pPr>
              <w:bidi/>
              <w:jc w:val="center"/>
            </w:pPr>
            <w:r>
              <w:rPr>
                <w:rFonts w:ascii="Arial" w:cs="Arial" w:eastAsia="Arial" w:hAnsi="Arial"/>
                <w:b w:val="false"/>
                <w:bCs w:val="false"/>
                <w:i w:val="false"/>
                <w:iCs w:val="false"/>
                <w:color w:val="C8960C"/>
                <w:sz w:val="20"/>
                <w:szCs w:val="20"/>
              </w:rPr>
              <w:t xml:space="preserve">www.Bonyaneg.com</w:t>
            </w:r>
          </w:p>
        </w:tc>
      </w:tr>
    </w:tbl>
    <w:p>
      <w:pPr>
        <w:spacing w:after="0" w:before="80"/>
      </w:pPr>
    </w:p>
    <w:p>
      <w:pPr>
        <w:bidi/>
        <w:spacing w:after="80" w:before="80"/>
        <w:jc w:val="right"/>
      </w:pPr>
      <w:r>
        <w:rPr>
          <w:rFonts w:ascii="Arial" w:cs="Arial" w:eastAsia="Arial" w:hAnsi="Arial"/>
          <w:b w:val="false"/>
          <w:bCs w:val="false"/>
          <w:i w:val="false"/>
          <w:iCs w:val="false"/>
          <w:color w:val="333333"/>
          <w:sz w:val="22"/>
          <w:szCs w:val="22"/>
        </w:rPr>
        <w:t xml:space="preserve">يسعدنا مناقشة متطلبات مشروعكم. فريقنا من المهندسين والمتخصصين جاهز لتقديم عرض مُصمَّم خصيصاً لاحتياجاتكم.</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B3A6B" w:sz="4" w:space="8"/>
      </w:pBdr>
      <w:bidi/>
      <w:spacing w:before="80"/>
      <w:jc w:val="right"/>
    </w:pPr>
    <w:r>
      <w:rPr>
        <w:rFonts w:ascii="Arial" w:cs="Arial" w:eastAsia="Arial" w:hAnsi="Arial"/>
        <w:b w:val="false"/>
        <w:bCs w:val="false"/>
        <w:i w:val="false"/>
        <w:iCs w:val="false"/>
        <w:color w:val="666666"/>
        <w:sz w:val="16"/>
        <w:szCs w:val="16"/>
      </w:rPr>
      <w:t xml:space="preserve">© بنيان للتوريدات والمقاولات  |  ali.helally@Bonyaneg.com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800"/>
      <w:gridCol w:w="6480"/>
      <w:gridCol w:w="1800"/>
    </w:tblGrid>
    <w:tr>
      <w:tc>
        <w:tcPr>
          <w:tcW w:type="dxa" w:w="1800"/>
          <w:tcBorders>
            <w:top w:val="none"/>
            <w:left w:val="none"/>
            <w:bottom w:val="single" w:color="C8960C" w:sz="6"/>
            <w:right w:val="none"/>
          </w:tcBorders>
          <w:tcMar>
            <w:top w:type="dxa" w:w="40"/>
            <w:left w:type="dxa" w:w="0"/>
            <w:bottom w:type="dxa" w:w="40"/>
            <w:right w:type="dxa" w:w="120"/>
          </w:tcMar>
        </w:tcPr>
        <w:p>
          <w:r>
            <w:rPr>
              <w:rFonts w:ascii="Arial" w:cs="Arial" w:eastAsia="Arial" w:hAnsi="Arial"/>
              <w:b w:val="false"/>
              <w:bCs w:val="false"/>
              <w:i w:val="false"/>
              <w:iCs w:val="false"/>
              <w:color w:val="666666"/>
              <w:sz w:val="16"/>
              <w:szCs w:val="16"/>
            </w:rPr>
            <w:t xml:space="preserve">www.Bonyaneg.com</w:t>
          </w:r>
        </w:p>
      </w:tc>
      <w:tc>
        <w:tcPr>
          <w:tcW w:type="dxa" w:w="6480"/>
          <w:tcBorders>
            <w:top w:val="none"/>
            <w:left w:val="none"/>
            <w:bottom w:val="single" w:color="C8960C" w:sz="6"/>
            <w:right w:val="none"/>
          </w:tcBorders>
          <w:tcMar>
            <w:top w:type="dxa" w:w="40"/>
            <w:left w:type="dxa" w:w="0"/>
            <w:bottom w:type="dxa" w:w="40"/>
            <w:right w:type="dxa" w:w="0"/>
          </w:tcMar>
        </w:tcPr>
        <w:p>
          <w:pPr>
            <w:bidi/>
            <w:jc w:val="center"/>
          </w:pPr>
          <w:r>
            <w:rPr>
              <w:rFonts w:ascii="Arial" w:cs="Arial" w:eastAsia="Arial" w:hAnsi="Arial"/>
              <w:b w:val="false"/>
              <w:bCs w:val="false"/>
              <w:i w:val="false"/>
              <w:iCs w:val="false"/>
              <w:color w:val="666666"/>
              <w:sz w:val="18"/>
              <w:szCs w:val="18"/>
            </w:rPr>
            <w:t xml:space="preserve">بنيان للتوريدات والمقاولات — الملف التعريفي</w:t>
          </w:r>
        </w:p>
      </w:tc>
      <w:tc>
        <w:tcPr>
          <w:tcW w:type="dxa" w:w="1800"/>
          <w:tcBorders>
            <w:top w:val="none"/>
            <w:left w:val="none"/>
            <w:bottom w:val="single" w:color="C8960C" w:sz="6"/>
            <w:right w:val="none"/>
          </w:tcBorders>
          <w:tcMar>
            <w:top w:type="dxa" w:w="40"/>
            <w:left w:type="dxa" w:w="120"/>
            <w:bottom w:type="dxa" w:w="40"/>
            <w:right w:type="dxa" w:w="0"/>
          </w:tcMar>
        </w:tcPr>
        <w:p>
          <w:pPr>
            <w:bidi/>
            <w:jc w:val="right"/>
          </w:pPr>
          <w:r>
            <w:rPr>
              <w:rFonts w:ascii="Arial" w:cs="Arial" w:eastAsia="Arial" w:hAnsi="Arial"/>
              <w:b/>
              <w:bCs/>
              <w:i w:val="false"/>
              <w:iCs w:val="false"/>
              <w:color w:val="1B3A6B"/>
              <w:sz w:val="22"/>
              <w:szCs w:val="22"/>
            </w:rPr>
            <w:t xml:space="preserve">بنيان</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2026-04-24T09:10:17.437Z</dcterms:created>
  <dcterms:modified xsi:type="dcterms:W3CDTF">2026-04-24T09:10:17.438Z</dcterms:modified>
</cp:coreProperties>
</file>

<file path=docProps/custom.xml><?xml version="1.0" encoding="utf-8"?>
<Properties xmlns="http://schemas.openxmlformats.org/officeDocument/2006/custom-properties" xmlns:vt="http://schemas.openxmlformats.org/officeDocument/2006/docPropsVTypes"/>
</file>