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D12" w:rsidRPr="00284362" w:rsidRDefault="00284362" w:rsidP="00284362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北斗定位导航系统使用</w:t>
      </w:r>
      <w:r w:rsidR="00F25C53" w:rsidRPr="00284362">
        <w:rPr>
          <w:rFonts w:ascii="黑体" w:eastAsia="黑体" w:hAnsi="黑体" w:hint="eastAsia"/>
          <w:b/>
          <w:sz w:val="36"/>
          <w:szCs w:val="36"/>
        </w:rPr>
        <w:t>说明</w:t>
      </w:r>
    </w:p>
    <w:p w:rsidR="003043BD" w:rsidRDefault="008F5490" w:rsidP="003043BD">
      <w:pPr>
        <w:jc w:val="left"/>
        <w:rPr>
          <w:sz w:val="24"/>
          <w:szCs w:val="32"/>
        </w:rPr>
      </w:pPr>
      <w:r w:rsidRPr="006E335A">
        <w:rPr>
          <w:sz w:val="24"/>
          <w:szCs w:val="32"/>
        </w:rPr>
        <w:t>整体结构</w:t>
      </w:r>
      <w:r w:rsidR="00303B7A">
        <w:rPr>
          <w:rFonts w:hint="eastAsia"/>
          <w:sz w:val="24"/>
          <w:szCs w:val="32"/>
        </w:rPr>
        <w:t>：</w:t>
      </w:r>
    </w:p>
    <w:p w:rsidR="003043BD" w:rsidRDefault="00F25C53" w:rsidP="003043BD">
      <w:pPr>
        <w:jc w:val="center"/>
        <w:rPr>
          <w:rFonts w:hint="eastAsia"/>
          <w:sz w:val="24"/>
          <w:szCs w:val="32"/>
        </w:rPr>
      </w:pPr>
      <w:r>
        <w:rPr>
          <w:rFonts w:hint="eastAsia"/>
          <w:noProof/>
        </w:rPr>
        <w:drawing>
          <wp:inline distT="0" distB="0" distL="0" distR="0" wp14:anchorId="77416FAF" wp14:editId="24668F2D">
            <wp:extent cx="5273040" cy="17373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A4" w:rsidRPr="006E335A" w:rsidRDefault="00F25C53" w:rsidP="005B1472">
      <w:pPr>
        <w:jc w:val="left"/>
        <w:rPr>
          <w:rFonts w:hint="eastAsia"/>
          <w:sz w:val="20"/>
        </w:rPr>
      </w:pPr>
      <w:r w:rsidRPr="006E335A">
        <w:rPr>
          <w:rFonts w:hint="eastAsia"/>
          <w:sz w:val="24"/>
          <w:szCs w:val="32"/>
        </w:rPr>
        <w:t>串口连接方式</w:t>
      </w:r>
      <w:r w:rsidR="00303B7A">
        <w:rPr>
          <w:rFonts w:hint="eastAsia"/>
          <w:sz w:val="24"/>
          <w:szCs w:val="32"/>
        </w:rPr>
        <w:t>：</w:t>
      </w:r>
    </w:p>
    <w:tbl>
      <w:tblPr>
        <w:tblStyle w:val="3-1"/>
        <w:tblW w:w="7173" w:type="dxa"/>
        <w:jc w:val="center"/>
        <w:tblLayout w:type="fixed"/>
        <w:tblLook w:val="04A0" w:firstRow="1" w:lastRow="0" w:firstColumn="1" w:lastColumn="0" w:noHBand="0" w:noVBand="1"/>
      </w:tblPr>
      <w:tblGrid>
        <w:gridCol w:w="2391"/>
        <w:gridCol w:w="2391"/>
        <w:gridCol w:w="2391"/>
      </w:tblGrid>
      <w:tr w:rsidR="0032526A" w:rsidRPr="00D869B1" w:rsidTr="00303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2"/>
              <w:jc w:val="center"/>
              <w:rPr>
                <w:rFonts w:eastAsia="隶书" w:cs="Times New Roman"/>
                <w:sz w:val="21"/>
                <w:szCs w:val="22"/>
              </w:rPr>
            </w:pPr>
            <w:r w:rsidRPr="00D869B1">
              <w:rPr>
                <w:rFonts w:eastAsia="宋体" w:cs="Times New Roman"/>
                <w:sz w:val="21"/>
                <w:szCs w:val="22"/>
              </w:rPr>
              <w:t>STM32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i/>
                <w:sz w:val="21"/>
                <w:szCs w:val="22"/>
              </w:rPr>
            </w:pPr>
            <w:r w:rsidRPr="00D869B1">
              <w:rPr>
                <w:rFonts w:eastAsia="隶书" w:cs="Times New Roman"/>
                <w:sz w:val="21"/>
                <w:szCs w:val="22"/>
              </w:rPr>
              <w:t>ATK1218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rFonts w:hint="eastAsia"/>
                <w:sz w:val="21"/>
                <w:szCs w:val="22"/>
              </w:rPr>
              <w:t>S</w:t>
            </w:r>
            <w:r w:rsidRPr="00D869B1">
              <w:rPr>
                <w:sz w:val="21"/>
                <w:szCs w:val="22"/>
              </w:rPr>
              <w:t>IM800C</w:t>
            </w:r>
          </w:p>
        </w:tc>
      </w:tr>
      <w:tr w:rsidR="0032526A" w:rsidRPr="00D869B1" w:rsidTr="0030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rPr>
                <w:rFonts w:eastAsia="华文行楷" w:cs="Times New Roman"/>
                <w:sz w:val="21"/>
                <w:szCs w:val="22"/>
              </w:rPr>
            </w:pPr>
            <w:r w:rsidRPr="00D869B1">
              <w:rPr>
                <w:rFonts w:eastAsia="华文行楷" w:cs="Times New Roman"/>
                <w:sz w:val="21"/>
                <w:szCs w:val="22"/>
              </w:rPr>
              <w:t>PB10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sz w:val="21"/>
                <w:szCs w:val="22"/>
              </w:rPr>
              <w:t>-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sz w:val="21"/>
                <w:szCs w:val="22"/>
              </w:rPr>
              <w:t>SRXD</w:t>
            </w:r>
          </w:p>
        </w:tc>
      </w:tr>
      <w:tr w:rsidR="0032526A" w:rsidRPr="00D869B1" w:rsidTr="00303B7A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2"/>
              <w:jc w:val="center"/>
              <w:rPr>
                <w:rFonts w:eastAsia="楷体_GB2312" w:cs="Times New Roman"/>
                <w:sz w:val="21"/>
                <w:szCs w:val="22"/>
              </w:rPr>
            </w:pPr>
            <w:r w:rsidRPr="00D869B1">
              <w:rPr>
                <w:rFonts w:eastAsia="楷体_GB2312" w:cs="Times New Roman"/>
                <w:sz w:val="21"/>
                <w:szCs w:val="22"/>
              </w:rPr>
              <w:t>PB11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sz w:val="21"/>
                <w:szCs w:val="22"/>
              </w:rPr>
              <w:t>-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sz w:val="21"/>
                <w:szCs w:val="22"/>
              </w:rPr>
              <w:t>STXD</w:t>
            </w:r>
          </w:p>
        </w:tc>
      </w:tr>
      <w:tr w:rsidR="0032526A" w:rsidRPr="00D869B1" w:rsidTr="0030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rPr>
                <w:rFonts w:eastAsia="华文行楷" w:cs="Times New Roman"/>
                <w:sz w:val="21"/>
                <w:szCs w:val="22"/>
              </w:rPr>
            </w:pPr>
            <w:r w:rsidRPr="00D869B1">
              <w:rPr>
                <w:rFonts w:eastAsia="华文行楷" w:cs="Times New Roman"/>
                <w:sz w:val="21"/>
                <w:szCs w:val="22"/>
              </w:rPr>
              <w:t>PA2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sz w:val="21"/>
                <w:szCs w:val="22"/>
              </w:rPr>
            </w:pPr>
            <w:r w:rsidRPr="00D869B1">
              <w:rPr>
                <w:rFonts w:eastAsia="等线"/>
                <w:sz w:val="21"/>
                <w:szCs w:val="22"/>
              </w:rPr>
              <w:t>RXD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>
              <w:rPr>
                <w:rFonts w:eastAsia="宋体" w:cs="Times New Roman"/>
                <w:sz w:val="21"/>
                <w:szCs w:val="22"/>
              </w:rPr>
              <w:t>-</w:t>
            </w:r>
          </w:p>
        </w:tc>
      </w:tr>
      <w:tr w:rsidR="0032526A" w:rsidRPr="00D869B1" w:rsidTr="00303B7A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rPr>
                <w:rFonts w:cs="Times New Roman"/>
                <w:sz w:val="21"/>
                <w:szCs w:val="22"/>
              </w:rPr>
            </w:pPr>
            <w:r w:rsidRPr="00D869B1">
              <w:rPr>
                <w:rFonts w:cs="Times New Roman"/>
                <w:sz w:val="21"/>
                <w:szCs w:val="22"/>
              </w:rPr>
              <w:t>PA3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cs="Times New Roman"/>
                <w:sz w:val="21"/>
                <w:szCs w:val="22"/>
              </w:rPr>
            </w:pPr>
            <w:r w:rsidRPr="00D869B1">
              <w:rPr>
                <w:rFonts w:eastAsia="等线" w:hint="eastAsia"/>
                <w:sz w:val="21"/>
                <w:szCs w:val="22"/>
              </w:rPr>
              <w:t>T</w:t>
            </w:r>
            <w:r w:rsidRPr="00D869B1">
              <w:rPr>
                <w:rFonts w:eastAsia="等线"/>
                <w:sz w:val="21"/>
                <w:szCs w:val="22"/>
              </w:rPr>
              <w:t>XD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>
              <w:rPr>
                <w:rFonts w:eastAsia="宋体" w:cs="Times New Roman" w:hint="eastAsia"/>
                <w:sz w:val="21"/>
                <w:szCs w:val="22"/>
              </w:rPr>
              <w:t>-</w:t>
            </w:r>
          </w:p>
        </w:tc>
      </w:tr>
      <w:tr w:rsidR="0032526A" w:rsidRPr="00D869B1" w:rsidTr="0030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rPr>
                <w:rFonts w:cs="Times New Roman"/>
                <w:sz w:val="21"/>
                <w:szCs w:val="22"/>
              </w:rPr>
            </w:pPr>
            <w:r w:rsidRPr="00D869B1">
              <w:rPr>
                <w:rFonts w:cs="Times New Roman"/>
                <w:sz w:val="21"/>
                <w:szCs w:val="22"/>
              </w:rPr>
              <w:t>GND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="Times New Roman"/>
                <w:sz w:val="21"/>
                <w:szCs w:val="22"/>
              </w:rPr>
            </w:pPr>
            <w:r w:rsidRPr="00D869B1">
              <w:rPr>
                <w:rFonts w:eastAsia="等线" w:hint="eastAsia"/>
                <w:sz w:val="21"/>
                <w:szCs w:val="22"/>
              </w:rPr>
              <w:t>G</w:t>
            </w:r>
            <w:r w:rsidRPr="00D869B1">
              <w:rPr>
                <w:rFonts w:eastAsia="等线"/>
                <w:sz w:val="21"/>
                <w:szCs w:val="22"/>
              </w:rPr>
              <w:t>ND</w:t>
            </w:r>
            <w:r>
              <w:rPr>
                <w:rFonts w:eastAsia="等线" w:hint="eastAsia"/>
                <w:sz w:val="21"/>
                <w:szCs w:val="22"/>
              </w:rPr>
              <w:t>、P</w:t>
            </w:r>
            <w:r>
              <w:rPr>
                <w:rFonts w:eastAsia="等线"/>
                <w:sz w:val="21"/>
                <w:szCs w:val="22"/>
              </w:rPr>
              <w:t>PS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rFonts w:hint="eastAsia"/>
                <w:sz w:val="21"/>
                <w:szCs w:val="22"/>
              </w:rPr>
              <w:t>G</w:t>
            </w:r>
            <w:r w:rsidRPr="00D869B1">
              <w:rPr>
                <w:sz w:val="21"/>
                <w:szCs w:val="22"/>
              </w:rPr>
              <w:t>ND</w:t>
            </w:r>
          </w:p>
        </w:tc>
      </w:tr>
      <w:tr w:rsidR="0032526A" w:rsidRPr="00D869B1" w:rsidTr="00303B7A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rFonts w:cs="Times New Roman"/>
                <w:sz w:val="21"/>
                <w:szCs w:val="22"/>
              </w:rPr>
              <w:t>VCC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rFonts w:eastAsia="等线"/>
                <w:sz w:val="21"/>
                <w:szCs w:val="22"/>
              </w:rPr>
              <w:t>VCC</w:t>
            </w:r>
          </w:p>
        </w:tc>
        <w:tc>
          <w:tcPr>
            <w:tcW w:w="2391" w:type="dxa"/>
          </w:tcPr>
          <w:p w:rsidR="0032526A" w:rsidRPr="00D869B1" w:rsidRDefault="0032526A" w:rsidP="00B4388D">
            <w:pPr>
              <w:ind w:firstLineChars="200" w:firstLine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 w:val="21"/>
                <w:szCs w:val="22"/>
              </w:rPr>
            </w:pPr>
            <w:r w:rsidRPr="00D869B1">
              <w:rPr>
                <w:sz w:val="21"/>
                <w:szCs w:val="22"/>
              </w:rPr>
              <w:t>-</w:t>
            </w:r>
          </w:p>
        </w:tc>
      </w:tr>
    </w:tbl>
    <w:p w:rsidR="0032526A" w:rsidRDefault="0032526A" w:rsidP="00B4388D">
      <w:pPr>
        <w:ind w:firstLineChars="200" w:firstLine="420"/>
        <w:rPr>
          <w:rFonts w:hint="eastAsia"/>
        </w:rPr>
      </w:pPr>
    </w:p>
    <w:p w:rsidR="008F5490" w:rsidRPr="005B1472" w:rsidRDefault="00436AFF" w:rsidP="00303B7A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5B1472">
        <w:rPr>
          <w:rFonts w:ascii="Times New Roman" w:hAnsi="Times New Roman" w:cs="Times New Roman"/>
          <w:sz w:val="24"/>
          <w:szCs w:val="28"/>
        </w:rPr>
        <w:t>按照上述连接方式连接好引脚后，</w:t>
      </w:r>
      <w:r w:rsidR="008F5490" w:rsidRPr="005B1472">
        <w:rPr>
          <w:rFonts w:ascii="Times New Roman" w:hAnsi="Times New Roman" w:cs="Times New Roman"/>
          <w:sz w:val="24"/>
          <w:szCs w:val="28"/>
        </w:rPr>
        <w:t>连接电源，</w:t>
      </w:r>
      <w:r w:rsidR="00553A2C" w:rsidRPr="005B1472">
        <w:rPr>
          <w:rFonts w:ascii="Times New Roman" w:hAnsi="Times New Roman" w:cs="Times New Roman"/>
          <w:sz w:val="24"/>
          <w:szCs w:val="28"/>
        </w:rPr>
        <w:t>等待</w:t>
      </w:r>
      <w:r w:rsidR="00553A2C" w:rsidRPr="005B1472">
        <w:rPr>
          <w:rFonts w:ascii="Times New Roman" w:hAnsi="Times New Roman" w:cs="Times New Roman"/>
          <w:sz w:val="24"/>
          <w:szCs w:val="28"/>
        </w:rPr>
        <w:t xml:space="preserve"> </w:t>
      </w:r>
      <w:r w:rsidR="00FE1678" w:rsidRPr="005B1472">
        <w:rPr>
          <w:rFonts w:ascii="Times New Roman" w:hAnsi="Times New Roman" w:cs="Times New Roman"/>
          <w:sz w:val="24"/>
          <w:szCs w:val="28"/>
        </w:rPr>
        <w:t>STM32</w:t>
      </w:r>
      <w:r w:rsidR="00FE1678" w:rsidRPr="005B1472">
        <w:rPr>
          <w:rFonts w:ascii="Times New Roman" w:hAnsi="Times New Roman" w:cs="Times New Roman"/>
          <w:sz w:val="24"/>
          <w:szCs w:val="28"/>
        </w:rPr>
        <w:t>和</w:t>
      </w:r>
      <w:r w:rsidR="00596E98" w:rsidRPr="005B1472">
        <w:rPr>
          <w:rFonts w:ascii="Times New Roman" w:hAnsi="Times New Roman" w:cs="Times New Roman"/>
          <w:sz w:val="24"/>
          <w:szCs w:val="28"/>
        </w:rPr>
        <w:t>北斗模块进行有效连接，</w:t>
      </w:r>
      <w:r w:rsidR="005B1472">
        <w:rPr>
          <w:rFonts w:ascii="Times New Roman" w:hAnsi="Times New Roman" w:cs="Times New Roman" w:hint="eastAsia"/>
          <w:sz w:val="24"/>
          <w:szCs w:val="28"/>
        </w:rPr>
        <w:t>一段时间后，</w:t>
      </w:r>
      <w:r w:rsidR="00FE1678" w:rsidRPr="005B1472">
        <w:rPr>
          <w:rFonts w:ascii="Times New Roman" w:hAnsi="Times New Roman" w:cs="Times New Roman"/>
          <w:sz w:val="24"/>
          <w:szCs w:val="28"/>
        </w:rPr>
        <w:t>单片机</w:t>
      </w:r>
      <w:r w:rsidR="00553A2C" w:rsidRPr="005B1472">
        <w:rPr>
          <w:rFonts w:ascii="Times New Roman" w:hAnsi="Times New Roman" w:cs="Times New Roman"/>
          <w:sz w:val="24"/>
          <w:szCs w:val="28"/>
        </w:rPr>
        <w:t>将获得的经纬度数据传给</w:t>
      </w:r>
      <w:r w:rsidR="00553A2C" w:rsidRPr="005B1472">
        <w:rPr>
          <w:rFonts w:ascii="Times New Roman" w:hAnsi="Times New Roman" w:cs="Times New Roman"/>
          <w:sz w:val="24"/>
          <w:szCs w:val="28"/>
        </w:rPr>
        <w:t>GPRS</w:t>
      </w:r>
      <w:r w:rsidR="00553A2C" w:rsidRPr="005B1472">
        <w:rPr>
          <w:rFonts w:ascii="Times New Roman" w:hAnsi="Times New Roman" w:cs="Times New Roman"/>
          <w:sz w:val="24"/>
          <w:szCs w:val="28"/>
        </w:rPr>
        <w:t>，</w:t>
      </w:r>
      <w:r w:rsidR="006C7208" w:rsidRPr="005B1472">
        <w:rPr>
          <w:rFonts w:ascii="Times New Roman" w:hAnsi="Times New Roman" w:cs="Times New Roman"/>
          <w:sz w:val="24"/>
          <w:szCs w:val="28"/>
        </w:rPr>
        <w:t>然后</w:t>
      </w:r>
      <w:r w:rsidR="006C7208" w:rsidRPr="005B1472">
        <w:rPr>
          <w:rFonts w:ascii="Times New Roman" w:hAnsi="Times New Roman" w:cs="Times New Roman"/>
          <w:sz w:val="24"/>
          <w:szCs w:val="28"/>
        </w:rPr>
        <w:t>GPRS</w:t>
      </w:r>
      <w:r w:rsidR="006C7208" w:rsidRPr="005B1472">
        <w:rPr>
          <w:rFonts w:ascii="Times New Roman" w:hAnsi="Times New Roman" w:cs="Times New Roman"/>
          <w:sz w:val="24"/>
          <w:szCs w:val="28"/>
        </w:rPr>
        <w:t>传到服务器，服务器会生成一个</w:t>
      </w:r>
      <w:r w:rsidR="0082114C" w:rsidRPr="005B1472">
        <w:rPr>
          <w:rFonts w:ascii="Times New Roman" w:hAnsi="Times New Roman" w:cs="Times New Roman"/>
          <w:sz w:val="24"/>
          <w:szCs w:val="28"/>
        </w:rPr>
        <w:t>receive</w:t>
      </w:r>
      <w:r w:rsidR="0082114C" w:rsidRPr="005B1472">
        <w:rPr>
          <w:rFonts w:ascii="Times New Roman" w:hAnsi="Times New Roman" w:cs="Times New Roman"/>
          <w:sz w:val="24"/>
          <w:szCs w:val="28"/>
        </w:rPr>
        <w:t>文件</w:t>
      </w:r>
      <w:r w:rsidR="00432856" w:rsidRPr="005B1472">
        <w:rPr>
          <w:rFonts w:ascii="Times New Roman" w:hAnsi="Times New Roman" w:cs="Times New Roman"/>
          <w:sz w:val="24"/>
          <w:szCs w:val="28"/>
        </w:rPr>
        <w:t>。</w:t>
      </w:r>
    </w:p>
    <w:p w:rsidR="0032526A" w:rsidRDefault="0032526A" w:rsidP="005B1472">
      <w:pPr>
        <w:jc w:val="center"/>
      </w:pPr>
      <w:r>
        <w:rPr>
          <w:noProof/>
        </w:rPr>
        <w:drawing>
          <wp:inline distT="0" distB="0" distL="0" distR="0">
            <wp:extent cx="5274310" cy="1432136"/>
            <wp:effectExtent l="0" t="0" r="2540" b="0"/>
            <wp:docPr id="2" name="图片 2" descr="C:\Users\17852\Documents\Tencent Files\483307109\Image\C2C\ID8EN8WTOMZ~@)6Y_W07Z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852\Documents\Tencent Files\483307109\Image\C2C\ID8EN8WTOMZ~@)6Y_W07ZY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7A" w:rsidRPr="005B1472" w:rsidRDefault="00432856" w:rsidP="00475A7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B1472">
        <w:rPr>
          <w:rFonts w:ascii="Times New Roman" w:hAnsi="Times New Roman" w:cs="Times New Roman"/>
          <w:sz w:val="24"/>
        </w:rPr>
        <w:t>服务器处理</w:t>
      </w:r>
      <w:r w:rsidR="004C00E4" w:rsidRPr="005B1472">
        <w:rPr>
          <w:rFonts w:ascii="Times New Roman" w:hAnsi="Times New Roman" w:cs="Times New Roman"/>
          <w:sz w:val="24"/>
        </w:rPr>
        <w:t>后可在网页上查看定位和轨迹，</w:t>
      </w:r>
      <w:bookmarkStart w:id="0" w:name="_GoBack"/>
      <w:bookmarkEnd w:id="0"/>
      <w:r w:rsidR="004C00E4" w:rsidRPr="005B1472">
        <w:rPr>
          <w:rFonts w:ascii="Times New Roman" w:hAnsi="Times New Roman" w:cs="Times New Roman"/>
          <w:sz w:val="24"/>
        </w:rPr>
        <w:t>网页链接</w:t>
      </w:r>
      <w:r w:rsidR="00303B7A" w:rsidRPr="005B1472">
        <w:rPr>
          <w:rFonts w:ascii="Times New Roman" w:hAnsi="Times New Roman" w:cs="Times New Roman"/>
          <w:sz w:val="24"/>
        </w:rPr>
        <w:t>如下：</w:t>
      </w:r>
    </w:p>
    <w:p w:rsidR="00436AFF" w:rsidRPr="005B1472" w:rsidRDefault="00432856" w:rsidP="00475A78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B1472">
        <w:rPr>
          <w:rFonts w:ascii="Times New Roman" w:hAnsi="Times New Roman" w:cs="Times New Roman"/>
          <w:sz w:val="24"/>
        </w:rPr>
        <w:t>http://106.14.150.177:3090/hello</w:t>
      </w:r>
    </w:p>
    <w:sectPr w:rsidR="00436AFF" w:rsidRPr="005B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53"/>
    <w:rsid w:val="000D7F0A"/>
    <w:rsid w:val="00173C5D"/>
    <w:rsid w:val="00284362"/>
    <w:rsid w:val="003012B2"/>
    <w:rsid w:val="00303B7A"/>
    <w:rsid w:val="003043BD"/>
    <w:rsid w:val="0032526A"/>
    <w:rsid w:val="00431DBF"/>
    <w:rsid w:val="00432856"/>
    <w:rsid w:val="00436AFF"/>
    <w:rsid w:val="00475A78"/>
    <w:rsid w:val="004C00E4"/>
    <w:rsid w:val="00553A2C"/>
    <w:rsid w:val="00554F63"/>
    <w:rsid w:val="00596E98"/>
    <w:rsid w:val="005B1472"/>
    <w:rsid w:val="006C7208"/>
    <w:rsid w:val="006E335A"/>
    <w:rsid w:val="0082114C"/>
    <w:rsid w:val="008945BD"/>
    <w:rsid w:val="008D47B5"/>
    <w:rsid w:val="008F5490"/>
    <w:rsid w:val="00A65F8D"/>
    <w:rsid w:val="00B07DA4"/>
    <w:rsid w:val="00B4388D"/>
    <w:rsid w:val="00F25C53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AA53"/>
  <w15:chartTrackingRefBased/>
  <w15:docId w15:val="{8FAF9815-6BCC-47F1-8650-90C6BF82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3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32526A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438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38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2021-07-03T11:39:00Z</dcterms:created>
  <dcterms:modified xsi:type="dcterms:W3CDTF">2021-07-03T12:05:00Z</dcterms:modified>
</cp:coreProperties>
</file>