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 xml:space="preserve">Wesley Felipe Capucho —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 xml:space="preserve">Escola de Engenharia de Lorena, Universidade de São Paulo (EEL-USP) —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 a versão final e completa do sistema, domínio funcional mais linguagem proteica —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456 com rótulo interpretável — 264 VUS e 192 conflitantes),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(com o CADD à frente, sem significância na amostra pequena);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818823"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818823"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 xml:space="preserve">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 xml:space="preserve">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 xml:space="preserve">4. Comparar esse modelo, de forma honesta,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 xml:space="preserve">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 + 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 xml:space="preserve">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 xml:space="preserve">Comparação honesta,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 xml:space="preserve">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ᵃ Incluem gene e posição bruta —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 xml:space="preserve">A diferença é uma tendência não significativa na CV interna (p = 0,081), mas significativa na generalização externa (p = 0,045) — e adicionar primos a um modelo bioquímico piora o desempenho externo (p &lt; 0,0001). A conclusão é honesta: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 xml:space="preserve">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418119"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418119"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389120"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389120"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 xml:space="preserve">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 xml:space="preserve">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 xml:space="preserve">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 xml:space="preserve">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 xml:space="preserve">Vazamento a favor de terceiros: a comparação honesta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honesta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572000"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572000"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 xml:space="preserve">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 xml:space="preserve">—</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 das quais 456 têm rótulo ClinVar interpretável (264 VUS e 192 conflitantes) —,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 BRCA1 (0,651; apenas 21 positivos ruidosos) e BRCA2 (0,800) —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389120"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389120"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684048"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684048"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 xml:space="preserve">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572000"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572000"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que eles tinham no benchmark completo, como prevê o argumento de circularidade. O CADD (0,963) permanece nominalmente à frente, exceção que a amostra pequena (n = 42; 15 positivos; IC95% [0,898–1,0], sobreposto ao do modelo) não permite interpretar como diferença real —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supera AlphaMissense e REVEL, invertendo a vantagem deles no benchmark completo; o CADD permanece à frente, sobre amostra pequena sem diferença significativa.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6009323"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009323"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 os dois componentes são complementares de modo dependente do gene. Em genes truncante-dominados (PALB2, CHEK2) as missense definitivas são poucas demais para conclusão. Num serviço público de oncogenética de Minas Gerais, as VUS de 210 pacientes do SUS concentraram-se justamente no ATM (7/35; RIBEIRO et al., 2025) —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 (Figuras S12 a S15).</w:t>
      </w:r>
    </w:p>
    <w:p w:rsidR="00000000" w:rsidDel="00000000" w:rsidP="00000000" w:rsidRDefault="00000000" w:rsidRPr="00000000" w14:paraId="0000013A">
      <w:pPr>
        <w:pStyle w:val="Heading3"/>
        <w:rPr/>
      </w:pPr>
      <w:r>
        <w:rPr>
          <w:rtl w:val="0"/>
        </w:rPr>
        <w:t xml:space="preserve">Discussão: honestidade metodológica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 xml:space="preserve">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 e cada uma delas funciona como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 xml:space="preserve">O escopo permanece centrado em variantes missense de BRCA1/BRCA2, com a receita completa (domínio + ESM-2) estendida ao TP53 e ao ATM; ainda assim é estreita — PALB2 e CHEK2 têm missense definitivas em número insuficiente para conclusão. As fronteiras de domínio são cortes da literatura; verificou-se, porém, que uma característica contínua de distância ao domínio supera essa limitação, elevando a AUC externa a 0,918 e o modelo acessível sem GPU a 0,874 —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 usando os próprios mapas funcionais como rótulos —,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 xml:space="preserve">O acesso à interpretação genética é desigual no Brasil (ACHATZ et al., 2020; PALMERO et al., 2007; FERNANDES et al., 2019; LASTA; GROTO; BRANDALIZE, 2023; RIBEIRO et al., 2025; NORONHA et al., 2026). É exatamente nesse ponto de convergência entre inteligência artificial e saúde — eixo temático desta edição do Prêmio Jovem Cientista, dedicada à "Inteligência Artificial para o Bem Comum" —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CADD permaneceu à frente, sem significância na amostra pequena);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