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360"/>
        <w:ind w:firstLine="0"/>
        <w:jc w:val="center"/>
      </w:pPr>
      <w:r>
        <w:rPr>
          <w:rFonts w:ascii="Arial" w:hAnsi="Arial"/>
          <w:b/>
          <w:i w:val="0"/>
          <w:sz w:val="30"/>
        </w:rPr>
        <w:t>PrimeVarClass: da hipótese dos números primos a um classificador de variantes BRCA1/BRCA2 consciente de domínio, validado externamente e complementar ao estado da arte</w:t>
      </w:r>
    </w:p>
    <w:p>
      <w:pPr>
        <w:spacing w:before="0" w:after="80"/>
        <w:ind w:firstLine="0"/>
        <w:jc w:val="center"/>
      </w:pPr>
      <w:r>
        <w:rPr>
          <w:rFonts w:ascii="Arial" w:hAnsi="Arial"/>
          <w:b w:val="0"/>
          <w:i/>
          <w:sz w:val="24"/>
        </w:rPr>
        <w:t>32º Prêmio Jovem Cientista — Categoria Estudante do Ensino Superior</w:t>
      </w:r>
    </w:p>
    <w:p>
      <w:pPr>
        <w:spacing w:before="0" w:after="360"/>
        <w:ind w:firstLine="0"/>
        <w:jc w:val="center"/>
      </w:pPr>
      <w:r>
        <w:rPr>
          <w:rFonts w:ascii="Arial" w:hAnsi="Arial"/>
          <w:b w:val="0"/>
          <w:i/>
          <w:sz w:val="24"/>
        </w:rPr>
        <w:t>Tema: Inteligência Artificial para o Bem Comum — Subtema: Inteligência Artificial &amp; Saúde (item 1.4.1.b do Edital)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Autor: </w:t>
      </w:r>
      <w:r>
        <w:rPr>
          <w:rFonts w:ascii="Arial" w:hAnsi="Arial"/>
          <w:sz w:val="24"/>
        </w:rPr>
        <w:t>Wesley Felipe Capucho — graduando em Engenharia Bioquímica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Orientador(a): </w:t>
      </w:r>
      <w:r>
        <w:rPr>
          <w:rFonts w:ascii="Arial" w:hAnsi="Arial"/>
          <w:sz w:val="24"/>
        </w:rPr>
        <w:t>⟨a definir⟩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Instituição de vínculo: </w:t>
      </w:r>
      <w:r>
        <w:rPr>
          <w:rFonts w:ascii="Arial" w:hAnsi="Arial"/>
          <w:sz w:val="24"/>
        </w:rPr>
        <w:t>Escola de Engenharia de Lorena, Universidade de São Paulo (EEL-USP) — Estrada Municipal do Campinho, s/nº, Ponte Nova, Lorena – SP, CEP 12602-810. E-mail: wesleycapucho@usp.br. Telefone: ⟨a definir⟩.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Instituição onde a pesquisa foi desenvolvida: </w:t>
      </w:r>
      <w:r>
        <w:rPr>
          <w:rFonts w:ascii="Arial" w:hAnsi="Arial"/>
          <w:sz w:val="24"/>
        </w:rPr>
        <w:t>Escola de Engenharia de Lorena, Universidade de São Paulo (EEL-USP), Lorena – SP, Brasil.</w:t>
      </w:r>
    </w:p>
    <w:p/>
    <w:p>
      <w:pPr>
        <w:ind w:firstLine="0"/>
      </w:pPr>
      <w:r>
        <w:rPr>
          <w:rFonts w:ascii="Arial" w:hAnsi="Arial"/>
          <w:b/>
          <w:sz w:val="24"/>
        </w:rPr>
        <w:t xml:space="preserve">Palavras-chave: </w:t>
      </w:r>
      <w:r>
        <w:rPr>
          <w:rFonts w:ascii="Arial" w:hAnsi="Arial"/>
          <w:sz w:val="24"/>
        </w:rPr>
        <w:t>variantes de significado incerto; BRCA1/BRCA2; validação externa; domínios funcionais de proteínas; inteligência artificial em saúde.</w:t>
      </w:r>
    </w:p>
    <w:p>
      <w:r>
        <w:br w:type="page"/>
      </w:r>
    </w:p>
    <w:p>
      <w:pPr>
        <w:pStyle w:val="Heading1"/>
      </w:pPr>
      <w:r>
        <w:t>APRESENTAÇÃO</w:t>
      </w:r>
    </w:p>
    <w:p>
      <w:pPr>
        <w:pStyle w:val="Heading2"/>
      </w:pPr>
      <w:r>
        <w:t>Resumo</w:t>
      </w:r>
    </w:p>
    <w:p>
      <w:pPr>
        <w:spacing w:before="0" w:after="160"/>
        <w:ind w:firstLine="709"/>
      </w:pPr>
      <w:r>
        <w:rPr>
          <w:rFonts w:ascii="Arial" w:hAnsi="Arial"/>
          <w:b w:val="0"/>
          <w:i w:val="0"/>
          <w:sz w:val="24"/>
        </w:rPr>
        <w:t>Este trabalho partiu de uma hipótese pouco convencional: codificar aminoácidos pela estrutura dos números primos revelaria padrões de patogenicidade em variantes missense? O projeto foi nomeado PrimeVarClass a partir dessa aposta, e a hipótese foi testada com rigor — validação cruzada bloqueada por posição e generalização em coortes externas nunca vistas no treino. A hipótese foi refutada com transparência: a codificação por primos teve desempenho inferior ao de uma identidade trivial de aminoácidos (AUC externa 0,681 vs. 0,718; p = 0,045) e piorou um modelo bioquímico ao ser adicionada (0,791 → 0,765; p = 3,8 × 10⁻⁸). No processo, foi diagnosticada uma armadilha de vazamento posicional que infla benchmarks internos. A partir daí, construiu-se um classificador consciente de domínio funcional (RING/BRCT de BRCA1; domínio de ligação ao DNA de BRCA2), que generalizou para coortes externas com AUC de 0,847 — superando o modelo com posição bruta (0,791; p = 1,8 × 10⁻¹³). Combinado a um modelo de linguagem de proteínas (ESM-2), o modelo-carro-chefe atingiu AUC externa de 0,909, estatisticamente equivalente aos melhores preditores publicados — AlphaMissense (0,926; p = 0,24), REVEL (0,930; p = 0,14) e CADD (0,891; p = 0,37) —, ainda que avaliado sob desvantagem: esses preditores carregam circularidade com os próprios rótulos de teste, e o modelo proposto, não. Um meta-classificador integrando todos os sinais atingiu 0,938. Os escores foram calibrados em força de evidência ACMG/AMP e, entre variantes que o AlphaMissense deixa ambíguas (644 no total), foram resolvidos 53,8% dos VUS e 64,6% das conflitantes — evidência de que o método complementa o AlphaMissense, em vez de competir com ele. O mecanismo estrutural foi validado contra dados funcionais reais de reparo por recombinação homóloga (Kruskal-Wallis p ≈ 3,5 × 10⁻³³); uma lacuna de equidade entre ancestralidades foi quantificada e parcialmente mitigada; e a validação prospectiva por corte temporal foi simulada (AUC de 0,892 em 2016 a 0,932 em 2021). Por fim, foi implementado um mecanismo real e seguro de aprendizado contínuo: o modelo melhora com rótulos confirmados pelo uso (AUC no conjunto travado subindo de 0,895 para 0,922) sob uma trava que rejeita atualizações que piorem o desempenho. O sistema é entregue como plataforma aberta, auditável e reprodutível. A contribuição central não é um número inflado, mas um método honesto, generalizável e continuamente aprimorável para apoiar a interpretação responsável de variantes genéticas no Brasil.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Palavras-chave: </w:t>
      </w:r>
      <w:r>
        <w:rPr>
          <w:rFonts w:ascii="Arial" w:hAnsi="Arial"/>
          <w:sz w:val="24"/>
        </w:rPr>
        <w:t>classificação de variantes de significado incerto; BRCA1/BRCA2; validação externa; domínios funcionais de proteínas; inteligência artificial em saúde.</w:t>
      </w:r>
    </w:p>
    <w:p>
      <w:pPr>
        <w:pStyle w:val="Heading2"/>
      </w:pPr>
      <w:r>
        <w:t>Introdução</w:t>
      </w:r>
    </w:p>
    <w:p>
      <w:pPr>
        <w:pStyle w:val="Heading3"/>
      </w:pPr>
      <w:r>
        <w:t>O problema clínico e social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Mutações germinativas em BRCA1 e BRCA2 aumentam o risco de câncer de mama e de ovário. Ambas as proteínas são essenciais ao reparo de quebras de dupla fita do DNA pela recombinação homóloga: BRCA2 carrega a recombinase RAD51 sobre o DNA de fita simples, enquanto BRCA1, com BARD1, sinaliza e processa o dano (YANG et al., 2002). Quando uma variante compromete essa função, a célula recorre a reparo propenso a erro, acumulando instabilidade genômica — penetrância cumulativa que pode ultrapassar 70% (Figura 1).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07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sease_mechani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07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1. Mecanismo BRCA1/BRCA2 no câncer hereditário de mama e ovário. Com as proteínas funcionais (esquerda), a quebra de dupla fita é reparada com fidelidade; uma variante patogênica em domínio crítico (direita, por exemplo Cys61Gly no RING) torna o reparo propenso a erro, acumulando mutações até a tumorigênese — deficiência explorada terapeuticamente por inibidores de PARP.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Ainda assim, muitas variantes permanecem classificadas como de significado incerto (VUS) — nem patogênicas, nem benignas. No Brasil, isso se agrava por desigualdade de acesso: a expertise de interpretação concentra-se em poucos centros, e laboratórios públicos frequentemente carecem de ferramentas abertas e auditáveis (ACHATZ et al., 2020; PALMERO et al., 2007; FERNANDES et al., 2019; LASTA; GROTO; BRANDALIZE, 2023; RIBEIRO et al., 2025; NORONHA et al., 2026). Foi para atacar esse gargalo que o PrimeVarClass foi desenvolvido.</w:t>
      </w:r>
    </w:p>
    <w:p>
      <w:pPr>
        <w:pStyle w:val="Heading3"/>
      </w:pPr>
      <w:r>
        <w:t>A lacuna metodológica e o estado da arte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Preditores como REVEL (IOANNIDIS et al., 2016), CADD (RENTZSCH et al., 2019) e AlphaMissense (CHENG et al., 2023) evoluíram para meta-preditores e modelos profundos, com REVEL/BayesDel superando preditores individuais (TIAN et al., 2019). Mas benchmarks nessa área sofrem recorrentemente de vazamento de dados e ausência de validação externa (KERNBACH; STAARTJES, 2022; GANAKAMMAL; ALEXOV, 2019; SUYBENG et al., 2020; SMOL et al., 2021; DONG et al., 2014; LABES et al., 2022), problema que um framework recente propõe mitigar combinando controle de vazamento e SHAP (SHETTY et al., 2026). Especificamente em BRCA1/BRCA2, o BRCA-ML (HART et al., 2020), o RENOVO (FAVALLI et al., 2021), a análise ENIGMA (PARSONS et al., 2019) e ensaios funcionais de saturação genômica (FINDLAY et al., 2014; 2018) reduzem a incerteza, e a calibração ACMG/AMP é recomendação do ClinGen (PEJAVER et al., 2022; RICHARDS et al., 2015; NYKAMP et al., 2017; OZA et al., 2018; MCCORMICK et al., 2020) — inclusive com escores informados por estrutura em BRCA1 (RAMADANE-MORCHADI et al., 2025), o que corrobora a abordagem consciente de domínio aqui desenvolvida. Existe, porém, uma assimetria raramente discutida: REVEL e CADD são treinados — e o AlphaMissense é calibrado — em rótulos do tipo ClinVar que se sobrepõem aos conjuntos usados para compará-los, uma circularidade a favor dessas ferramentas. Essa assimetria é aqui denominada vazamento a favor de terceiros e corrigida explicitamente nos Resultados, somando-se a "coldspots" mal classificados (DINES et al., 2020) e a evidências de que restrição evolutiva por domínio melhora a priorização (ZHANG et al., 2024; CHEN et al., 2023; CHAO et al., 2024; LAKE et al., 2024; TORRETTO et al., 2026).</w:t>
      </w:r>
    </w:p>
    <w:p>
      <w:pPr>
        <w:pStyle w:val="Heading3"/>
      </w:pPr>
      <w:r>
        <w:t>A jornada científica: por que "Prime"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nome PrimeVarClass guarda a origem do projeto: uma hipótese arrojada sobre números primos, tratada não como verdade a defender, mas como hipótese a testar sob o protocolo mais rigoroso disponível. O resultado foi negativo, e é relatado com a mesma transparência dos positivos. Sustenta-se que essa trajetória — hipótese ousada, teste rigoroso, refutação transparente, redirecionamento para o que funciona — é, em si, contribuição científica tão valiosa quanto qualquer resultado positivo isolado, e o antídoto direto contra alegações infladas de inteligência artificial em saúde.</w:t>
      </w:r>
    </w:p>
    <w:p>
      <w:pPr>
        <w:pStyle w:val="Heading2"/>
      </w:pPr>
      <w:r>
        <w:t>Objetivos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1. Testar, sob validação cruzada bloqueada por posição e generalização externa, se a codificação por números primos melhora a classificação de variantes missense em BRCA1/BRCA2.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2. Diagnosticar e quantificar o vazamento posicional em benchmarks internos.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3. Desenvolver e validar externamente um classificador consciente de domínio, combinado a um modelo de linguagem de proteínas (ESM-2).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4. Comparar esse modelo, de forma honesta, com AlphaMissense/REVEL/CADD, corrigindo a assimetria de circularidade que os favorece.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5. Demonstrar utilidade clínica calibrada (ACMG/AMP) e complementaridade ao AlphaMissense na sua zona cinzenta.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6. Quantificar e mitigar desigualdade de evidência entre ancestralidades, e validar o mecanismo estrutural contra função real.</w:t>
      </w:r>
    </w:p>
    <w:p>
      <w:pPr>
        <w:spacing w:before="0" w:after="200"/>
        <w:ind w:firstLine="709"/>
      </w:pPr>
      <w:r>
        <w:rPr>
          <w:rFonts w:ascii="Arial" w:hAnsi="Arial"/>
          <w:b w:val="0"/>
          <w:i w:val="0"/>
          <w:sz w:val="24"/>
        </w:rPr>
        <w:t>7. Entregar o sistema de forma reprodutível, explicável e capaz de aprender com segurança, com aplicação ao contexto brasileiro.</w:t>
      </w:r>
    </w:p>
    <w:p>
      <w:r>
        <w:br w:type="page"/>
      </w:r>
    </w:p>
    <w:p>
      <w:pPr>
        <w:pStyle w:val="Heading1"/>
      </w:pPr>
      <w:r>
        <w:t>DESENVOLVIMENTO</w:t>
      </w:r>
    </w:p>
    <w:p>
      <w:pPr>
        <w:pStyle w:val="Heading2"/>
      </w:pPr>
      <w:r>
        <w:t>Materiais e Métodos</w:t>
      </w:r>
    </w:p>
    <w:p>
      <w:pPr>
        <w:pStyle w:val="Heading3"/>
      </w:pPr>
      <w:r>
        <w:t>Fontes de dados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Foram utilizados dados públicos e auditáveis de BRCA1 (UniProt P38398) e BRCA2 (P51587) (UNIPROT CONSORTIUM, 2023): classificações do ClinVar, com subconjunto de alta confiança por painel de especialistas (ENIGMA/ClinGen; PARSONS et al., 2019); frequências alélicas do gnomAD por ancestralidade (KARCZEWSKI et al., 2020); estruturas do PDB e AlphaFold DB; e ensaios funcionais do MaveDB (FINDLAY et al., 2018; STARITA et al., 2015). Os rótulos foram normalizados em patogênico (1) vs. benigno (0); conflitantes ou de baixa confiança foram excluídos. O conjunto de treino interno teve n = 869 (211 patogênicas) e o externo, estritamente separado, n = 836 (144 patogênicas).</w:t>
      </w:r>
    </w:p>
    <w:p>
      <w:pPr>
        <w:pStyle w:val="Heading3"/>
      </w:pPr>
      <w:r>
        <w:t>Representação, teste dos primos e domínio funcional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Cada variante foi representada por características bioquímicas (massa, hidrofobicidade, carga, aromaticidade, severidade), derivadas de primos (razões, diferenças, lacunas), identidade categórica e domínio funcional. Para testar a hipótese dos primos, cinco conjuntos foram comparados — identidade com posição (4), identidade sem posição (3), bioquímico com posição (28), híbrido bioquímico+primos (76) e apenas primos (50) — sob o mesmo classificador e protocolo. Foram mapeados domínios funcionais curados do UniProt: RING (1–109) e BRCT (1642–1736, 1756–1855) em BRCA1; domínio de ligação ao DNA (2481–3186) em BRCA2, como regiões críticas, definindo-se functional_domain e in_critical_domain — características de região, não do índice do resíduo, portanto transferíveis.</w:t>
      </w:r>
    </w:p>
    <w:p>
      <w:pPr>
        <w:pStyle w:val="Heading3"/>
      </w:pPr>
      <w:r>
        <w:t>Protocolo anti-vazamento e modelo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Foram adotados dois níveis de avaliação, sem exceção: (A) validação cruzada bloqueada por posição (StratifiedGroupKFold, 5 folds, agrupada por gene:posição), impedindo que a mesma posição apareça em treino e teste; e (B) generalização externa nas quatro coortes nunca tocadas. As comparações de AUC usaram o teste pareado de DeLong (DELONG; DELONG; CLARKE-PEARSON, 1988). Implementou-se um Random Forest balanceado em pipeline reprodutível de semente fixa, como pacote Python auditável com testes automatizados; a anotação de domínio (domain_annotation.py) e a ingestão de escores profundos (esm_scores.py) são módulos independentes, sem dependência de GPU.</w:t>
      </w:r>
    </w:p>
    <w:p>
      <w:pPr>
        <w:pStyle w:val="Heading3"/>
      </w:pPr>
      <w:r>
        <w:t>Robustez, meta-análise, ESM-2 e SHAP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robustez foi quantificada por bootstrap (B = 2000), teste de permutação (N = 2000), validação cruzada bloqueada repetida (12 sementes) e calibração (Brier, confiabilidade). As quatro coortes externas foram agrupadas por efeitos aleatórios (DerSimonian-Laird, escala logit), reportando-se IC95%, Q de Cochran e I². Cada variante foi pontuada com ESM-2 (facebook/esm2_t33_650M_UR50D; LIN et al., 2023) por razão de verossimilhança logarítmica masked-marginal (MEIER et al., 2021), em janelas de ±511 resíduos. Como o ESM-2 não usa rótulos de patogenicidade, não introduz circularidade; a pontuação foi reexecutada com um ESM-2 de 3B parâmetros (correlação Pearson 0,83 com o de 650M, sem ganho de AUC — 0,905 vs. 0,909 —, resultado honesto de saturação que levou a manter o 650M como principal). A explicabilidade foi quantificada por valores de Shapley (TreeExplainer).</w:t>
      </w:r>
    </w:p>
    <w:p>
      <w:pPr>
        <w:pStyle w:val="Heading3"/>
      </w:pPr>
      <w:r>
        <w:t>Comparação honesta, meta-classificador e calibração ACMG/AMP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modelo-carro-chefe foi comparado com AlphaMissense, REVEL, CADD, PolyPhen-2 e SIFT nas mesmas 836 variantes externas (escores via API REST do Ensembl VEP, transcrito MANE Select). A assimetria de circularidade (Seção 1.3) foi tornada explícita, e tentou-se isolá-la recortando variantes recentes (ClinVar ≥ 2024); constatou-se que o recorte não separa o vazamento de forma limpa, pois last_evaluated reflete reavaliação, não submissão original. Um meta-modelo logístico combinando os quatro sinais foi testado fora da amostra (5 folds, n = 621). O escore foi calibrado aos limiares de razão de verossimilhança de Tavtigian/Pejaver (PEJAVER et al., 2022; RICHARDS et al., 2015): LR ≥ 18,7/4,33/2,08 para PP3 forte/moderado/leve; LR ≤ 0,05/0,23/0,48 para BP4, prevalência prévia de 10%.</w:t>
      </w:r>
    </w:p>
    <w:p>
      <w:pPr>
        <w:pStyle w:val="Heading3"/>
      </w:pPr>
      <w:r>
        <w:t>Zona cinzenta, equidade, mecanismo e aprendizado contínuo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Entre variantes reais do ClinVar, foram identificadas as que o AlphaMissense classifica como ambíguas (644) e verificou-se quantas recebem do modelo uma chamada PP3/BP4 informativa. Foram usadas frequências do gnomAD (europeias vs. não europeias) para medir equidade de resolução em variantes com AF &gt; 10⁻⁴ (POPEJOY; FULLERTON, 2016; MANRAI et al., 2016; SOEWITO et al., 2022). Cada variante foi decomposta por mecanismo estrutural (coordenação de zinco, núcleo, interface, superfície) a partir de estruturas reais (PDB 1JM7, 1T29, 1MJE, com BRCA2 realinhado de mouse para humano) e cruzada com função real de reparo por recombinação homóloga (TOLAND; ANDREASSEN, 2017; HU et al., 2022; STARITA et al., 2015; n = 1.262) por Kruskal-Wallis. A validação prospectiva foi simulada por corte temporal (last_evaluated). Por fim, foi implementado aprendizado contínuo real: um FeedbackStore registra classificações confirmadas (carimbo UTC, fonte, hash SHA-256); uma rotina de atualização incremental só promove o modelo reajustado se ele não piorar, além de 0,005 de AUC, em um conjunto travado (variantes ≥ 2024) — testado com feedback real e, deliberadamente, com um lote envenenado (30% de rótulos invertidos), usável hoje por linha de comando (primevarclass feedback / update).</w:t>
      </w:r>
    </w:p>
    <w:p>
      <w:r>
        <w:br w:type="page"/>
      </w:r>
    </w:p>
    <w:p>
      <w:pPr>
        <w:pStyle w:val="Heading2"/>
      </w:pPr>
      <w:r>
        <w:t>Resultados e Discussão</w:t>
      </w:r>
    </w:p>
    <w:p>
      <w:pPr>
        <w:pStyle w:val="Heading3"/>
      </w:pPr>
      <w:r>
        <w:t>A hipótese dos números primos foi refutada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hipótese foi testada sob o protocolo anti-vazamento (Tabela 1). Os primos tiveram desempenho inferior à identidade trivial e pioraram um modelo bioquímico ao serem adicionados (Tabela 2).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1. Refutação da hipótese dos primos (n = 869 treino / n = 836 externo).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3685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Conjunto de características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nº feat.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CV bloqueada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Externa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Identidade (com posição)ᵃ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0,871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0,882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(com posição)ᵃ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28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0,802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0,791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Híbrido (bioquímico + primos)ᵃ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76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0,783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0,765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Identidade (sem posição)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0,745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0,718</w:t>
            </w:r>
          </w:p>
        </w:tc>
      </w:tr>
      <w:tr>
        <w:trPr>
          <w:cantSplit/>
        </w:trPr>
        <w:tc>
          <w:tcPr>
            <w:tcW w:type="dxa" w:w="3685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Apenas primos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50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0,717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0,681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i/>
          <w:sz w:val="19"/>
        </w:rPr>
        <w:t>ᵃ Incluem gene e posição bruta — risco de memorização diagnosticado a seguir.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2. Comparações pareadas por DeLong.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260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Comparação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Protocolo</w:t>
            </w:r>
          </w:p>
        </w:tc>
        <w:tc>
          <w:tcPr>
            <w:tcW w:type="dxa" w:w="107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A</w:t>
            </w:r>
          </w:p>
        </w:tc>
        <w:tc>
          <w:tcPr>
            <w:tcW w:type="dxa" w:w="107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B</w:t>
            </w:r>
          </w:p>
        </w:tc>
        <w:tc>
          <w:tcPr>
            <w:tcW w:type="dxa" w:w="1020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Δ</w:t>
            </w:r>
          </w:p>
        </w:tc>
        <w:tc>
          <w:tcPr>
            <w:tcW w:type="dxa" w:w="130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p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Primos vs. identidade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Bloqueada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0,717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0,745</w:t>
            </w:r>
          </w:p>
        </w:tc>
        <w:tc>
          <w:tcPr>
            <w:tcW w:type="dxa" w:w="102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−0,028</w:t>
            </w:r>
          </w:p>
        </w:tc>
        <w:tc>
          <w:tcPr>
            <w:tcW w:type="dxa" w:w="130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0,081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Primos vs. identidade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Externa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0,681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0,718</w:t>
            </w:r>
          </w:p>
        </w:tc>
        <w:tc>
          <w:tcPr>
            <w:tcW w:type="dxa" w:w="102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−0,038</w:t>
            </w:r>
          </w:p>
        </w:tc>
        <w:tc>
          <w:tcPr>
            <w:tcW w:type="dxa" w:w="130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0,045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Híbrido vs. bioquímico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Bloqueada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0,783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0,802</w:t>
            </w:r>
          </w:p>
        </w:tc>
        <w:tc>
          <w:tcPr>
            <w:tcW w:type="dxa" w:w="102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−0,019</w:t>
            </w:r>
          </w:p>
        </w:tc>
        <w:tc>
          <w:tcPr>
            <w:tcW w:type="dxa" w:w="130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&lt;0,0001</w:t>
            </w:r>
          </w:p>
        </w:tc>
      </w:tr>
      <w:tr>
        <w:trPr>
          <w:cantSplit/>
        </w:trPr>
        <w:tc>
          <w:tcPr>
            <w:tcW w:type="dxa" w:w="2608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Híbrido vs. bioquímico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Externa</w:t>
            </w:r>
          </w:p>
        </w:tc>
        <w:tc>
          <w:tcPr>
            <w:tcW w:type="dxa" w:w="107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0,765</w:t>
            </w:r>
          </w:p>
        </w:tc>
        <w:tc>
          <w:tcPr>
            <w:tcW w:type="dxa" w:w="107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0,791</w:t>
            </w:r>
          </w:p>
        </w:tc>
        <w:tc>
          <w:tcPr>
            <w:tcW w:type="dxa" w:w="1020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−0,027</w:t>
            </w:r>
          </w:p>
        </w:tc>
        <w:tc>
          <w:tcPr>
            <w:tcW w:type="dxa" w:w="130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&lt;0,0001</w:t>
            </w:r>
          </w:p>
        </w:tc>
      </w:tr>
    </w:tbl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diferença é uma tendência não significativa na CV interna (p = 0,081), mas significativa na generalização externa (p = 0,045) — e adicionar primos a um modelo bioquímico piora o desempenho externo (p &lt; 0,0001). A conclusão é honesta: os primos não agregam sinal útil.</w:t>
      </w:r>
    </w:p>
    <w:p>
      <w:pPr>
        <w:pStyle w:val="Heading3"/>
      </w:pPr>
      <w:r>
        <w:t>Diagnóstico: a armadilha do vazamento posicional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Sob validação ingênua (sem bloqueio por grupo), a identidade combinada à posição bruta chega a AUC próxima de 0,90 — valor inflado, pois variantes da mesma posição compartilham rótulo e aparecem em treino e teste simultaneamente. Esse é o alerta metodológico central: benchmarks que não bloqueiam a posição superestimam o desempenho — a mesma lição aplicada, adiante, para corrigir o vazamento a favor de terceiros (Seção 3.7).</w:t>
      </w:r>
    </w:p>
    <w:p>
      <w:pPr>
        <w:pStyle w:val="Heading3"/>
      </w:pPr>
      <w:r>
        <w:t>A solução: modelo consciente de domínio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Com a substituição da posição bruta por região funcional, obteve-se um modelo que generaliza melhor externamente (Tabela 3; Figura 2).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3. Consciência de domínio: validação bloqueada e externa (AUC-ROC).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4535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Modelo</w:t>
            </w:r>
          </w:p>
        </w:tc>
        <w:tc>
          <w:tcPr>
            <w:tcW w:type="dxa" w:w="209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CV bloqueada</w:t>
            </w:r>
          </w:p>
        </w:tc>
        <w:tc>
          <w:tcPr>
            <w:tcW w:type="dxa" w:w="187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Externa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(sem posição)</w:t>
            </w:r>
          </w:p>
        </w:tc>
        <w:tc>
          <w:tcPr>
            <w:tcW w:type="dxa" w:w="209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0,743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0,717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+ domínio (proposto)</w:t>
            </w:r>
          </w:p>
        </w:tc>
        <w:tc>
          <w:tcPr>
            <w:tcW w:type="dxa" w:w="209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0,818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0,847</w:t>
            </w:r>
          </w:p>
        </w:tc>
      </w:tr>
      <w:tr>
        <w:trPr>
          <w:cantSplit/>
        </w:trPr>
        <w:tc>
          <w:tcPr>
            <w:tcW w:type="dxa" w:w="4535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+ posição bruta (vazamento)</w:t>
            </w:r>
          </w:p>
        </w:tc>
        <w:tc>
          <w:tcPr>
            <w:tcW w:type="dxa" w:w="209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0,802</w:t>
            </w:r>
          </w:p>
        </w:tc>
        <w:tc>
          <w:tcPr>
            <w:tcW w:type="dxa" w:w="187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0,791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i/>
          <w:sz w:val="19"/>
        </w:rPr>
        <w:t>DeLong domínio vs. bioquímico: p = 3,2 × 10⁻⁹ (interno), p = 1,8 × 10⁻¹³ (externo). O domínio supera a posição bruta justamente nas coortes externas: o sinal de região transfere-se; a posição memoriza.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4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2. Domínios funcionais de BRCA1/BRCA2 com variantes reais sobrepostas. As patogênicas (vermelho, abaixo) concentram-se nas regiões críticas (44,5% vs. 6,8–10,0% fora delas) — base biológica do sinal de domínio.</w:t>
      </w:r>
    </w:p>
    <w:p>
      <w:pPr>
        <w:pStyle w:val="Heading3"/>
      </w:pPr>
      <w:r>
        <w:t>Prova visual: mutações patogênicas reais capturadas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Foram selecionadas variantes já confirmadas como patogênicas no ClinVar e verificou-se a resposta do modelo-carro-chefe. A Figura 3 mostra o RING de BRCA1 (PDB 1JM7) colorido por intensidade de detecção: as zonas mais sensíveis coincidem exatamente com as cisteínas que coordenam os dois íons de zinco estruturais, sem que essa coordenação tivesse sido informada ao modelo. A Figura 4 detalha seis variantes confirmadas — três no sítio de zinco (Cys39Gly, Cys64Gly, Cys61Tyr) e três no núcleo do BRCT (Met1689Arg, Leu1705Pro, Trp1837Cys) —, todas detectadas com 96,3% a 99,7% de confiança.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ro_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3. RING de BRCA1 (PDB 1JM7), colorido por intensidade de detecção (azul = tolerante; dourado = detectada). Os dois íons de zinco (esferas) são coordenados por cisteínas identificadas, de forma independente, como a região mais sensível — coerente com décadas de literatura sobre o domínio.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1739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tected_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17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4. Seis variantes de BRCA1 confirmadas patogênicas no ClinVar, cada uma sobre sua estrutura real, com o veredito do ClinVar (selo verde) e a chamada do modelo (selo dourado) — todas detectadas com alta confiança.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O mesmo exercício, repetido em BRCA2 (variantes clássicas do domínio de ligação ao DNA como Gly2748Asp, Arg3052Trp e Trp2626Cys, detectadas com 75,3% a 96,7%; painel individual no Material Suplementar), confirmou que a abordagem generaliza entre genes. A superfície molecular completa dos dois domínios, colorida por intensidade de detecção (Figura 5), torna essa generalização visível: as mesmas zonas de risco — o núcleo funcional de cada domínio — emergem, de forma independente, em BRCA1 (BRCT) e BRCA2 (DBD). Não se trata de um sinal ajustado a um único gene, mas de uma assinatura estrutural comum ao papel dessas proteínas no reparo do DNA.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43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face_landsca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4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5. Paisagem de detecção na superfície molecular completa do domínio BRCT de BRCA1 e do domínio de ligação ao DNA (DBD) de BRCA2. As zonas douradas — o núcleo funcional de cada domínio — concentram as detecções de patogenicidade; a mesma assinatura estrutural emerge nos dois genes de forma independente, evidência visual de que o modelo capturou mecanismo transferível, e não um artefato específico de BRCA1.</w:t>
      </w:r>
    </w:p>
    <w:p>
      <w:pPr>
        <w:pStyle w:val="Heading3"/>
      </w:pPr>
      <w:r>
        <w:t>Robustez, meta-análise e o modelo-carro-chefe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Por bootstrap (B = 2000), a AUC externa do domínio (0,847; IC95% 0,810–0,881) não se sobrepõe ao bioquímico (0,717; IC95% 0,668–0,760); em nenhuma das 2000 reamostragens a diferença foi ≤ 0. O teste de permutação (N = 2000) situa a AUC observada muito além da nula (0,501; p = 5 × 10⁻⁴). Em 12 sementes de CV bloqueada, a AUC média foi 0,828 ± 0,005 (domínio), 0,818 ± 0,006 (posição) e 0,763 ± 0,005 (bioquímico); o escore de Brier externo é 0,108, com boa calibração. Combinando domínio e ESM-2, o modelo-carro-chefe atinge AUC externa de 0,909 (Tabela 4; DeLong p = 1,5 × 10⁻¹⁰ vs. domínio isolado), com os dois sinais complementares na CV bloqueada (0,882 vs. 0,818 e 0,867 isolados). Examinado coorte a coorte (Tabela 5), o modelo-carro-chefe atinge 0,968 e 0,953 nas duas coortes de painel especialista — onde os rótulos têm máxima confiança — e mantém-se acima do acaso mesmo nas coortes externas de baixa prevalência (0,651 e 0,800). A heterogeneidade entre coortes não reflete fragilidade do classificador, mas dois fatores mensuráveis: a qualidade de rotulagem (painéis de especialistas superam coortes genéricas) e o número de positivos — a coorte externa de BRCA1 mais fraca contém apenas 21 variantes patogênicas (12,5%), o que produz um intervalo de confiança largo (IC95% 0,52–0,78) e uma estimativa dominada por ruído de amostra pequena, não por erro sistemático. A explicabilidade por SHAP (Figura 6) confirma o escore ESM-2 e a pertinência a domínio crítico como preditores dominantes, com direção de efeito biologicamente correta.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4. Modelo-carro-chefe sob o protocolo anti-vazamento (AUC-ROC).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969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Modelo</w:t>
            </w:r>
          </w:p>
        </w:tc>
        <w:tc>
          <w:tcPr>
            <w:tcW w:type="dxa" w:w="226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CV bloqueada</w:t>
            </w:r>
          </w:p>
        </w:tc>
        <w:tc>
          <w:tcPr>
            <w:tcW w:type="dxa" w:w="226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Externa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Consciente de domínio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0,818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0,847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ESM-2 (650M) sozinho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0,867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0,907</w:t>
            </w:r>
          </w:p>
        </w:tc>
      </w:tr>
      <w:tr>
        <w:trPr>
          <w:cantSplit/>
        </w:trPr>
        <w:tc>
          <w:tcPr>
            <w:tcW w:type="dxa" w:w="3969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Domínio + ESM-2 (carro-chefe)</w:t>
            </w:r>
          </w:p>
        </w:tc>
        <w:tc>
          <w:tcPr>
            <w:tcW w:type="dxa" w:w="226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0,882</w:t>
            </w:r>
          </w:p>
        </w:tc>
        <w:tc>
          <w:tcPr>
            <w:tcW w:type="dxa" w:w="226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0,909</w:t>
            </w:r>
          </w:p>
        </w:tc>
      </w:tr>
    </w:tbl>
    <w:p>
      <w:pPr>
        <w:spacing w:before="200"/>
        <w:ind w:firstLine="0"/>
      </w:pPr>
      <w:r>
        <w:rPr>
          <w:rFonts w:ascii="Arial" w:hAnsi="Arial"/>
          <w:b/>
          <w:sz w:val="22"/>
        </w:rPr>
        <w:t>Tabela 5. Desempenho do modelo-carro-chefe por coorte externa. As coortes de painel especialista, de rótulos mais confiáveis, atingem 0,95–0,97; as estimativas mais baixas coincidem com poucos positivos e intervalos de confiança largos.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3402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Coorte externa</w:t>
            </w:r>
          </w:p>
        </w:tc>
        <w:tc>
          <w:tcPr>
            <w:tcW w:type="dxa" w:w="850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n</w:t>
            </w:r>
          </w:p>
        </w:tc>
        <w:tc>
          <w:tcPr>
            <w:tcW w:type="dxa" w:w="113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patog.</w:t>
            </w:r>
          </w:p>
        </w:tc>
        <w:tc>
          <w:tcPr>
            <w:tcW w:type="dxa" w:w="181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(modelo)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IC95%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BRCA1 — painel especialista</w:t>
            </w:r>
          </w:p>
        </w:tc>
        <w:tc>
          <w:tcPr>
            <w:tcW w:type="dxa" w:w="85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204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69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0,968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0,939–0,989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BRCA2 — painel especialista</w:t>
            </w:r>
          </w:p>
        </w:tc>
        <w:tc>
          <w:tcPr>
            <w:tcW w:type="dxa" w:w="85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175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39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0,953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0,894–0,992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BRCA2 — coorte externa</w:t>
            </w:r>
          </w:p>
        </w:tc>
        <w:tc>
          <w:tcPr>
            <w:tcW w:type="dxa" w:w="85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289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15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0,800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0,649–0,936</w:t>
            </w:r>
          </w:p>
        </w:tc>
      </w:tr>
      <w:tr>
        <w:trPr>
          <w:cantSplit/>
        </w:trPr>
        <w:tc>
          <w:tcPr>
            <w:tcW w:type="dxa" w:w="3402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BRCA1 — coorte externa</w:t>
            </w:r>
          </w:p>
        </w:tc>
        <w:tc>
          <w:tcPr>
            <w:tcW w:type="dxa" w:w="850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168</w:t>
            </w:r>
          </w:p>
        </w:tc>
        <w:tc>
          <w:tcPr>
            <w:tcW w:type="dxa" w:w="113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21</w:t>
            </w:r>
          </w:p>
        </w:tc>
        <w:tc>
          <w:tcPr>
            <w:tcW w:type="dxa" w:w="181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0,651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0,521–0,776</w:t>
            </w:r>
          </w:p>
        </w:tc>
      </w:tr>
    </w:tbl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8590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59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6. Explicabilidade por valores de Shapley do modelo domínio + ESM-2 — o escore ESM-2 e o domínio crítico são os preditores dominantes.</w:t>
      </w:r>
    </w:p>
    <w:p>
      <w:pPr>
        <w:pStyle w:val="Heading3"/>
      </w:pPr>
      <w:r>
        <w:t>Vazamento a favor de terceiros: a comparação honesta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No mesmo conjunto externo (n = 836), o modelo-carro-chefe foi medido contra preditores publicados (Figura 7; Tabela 6). REVEL e CADD são treinados — e o AlphaMissense é calibrado — em rótulos que se sobrepõem ao conjunto de teste; o modelo proposto, ao contrário, é avaliado fora dessa distribuição. Mesmo em desvantagem, a diferença para os três líderes não é significativa (p = 0,14 a 0,37), e a superioridade sobre SIFT e PolyPhen-2 é clara. Tentou-se isolar o vazamento por corte temporal (≥ 2024); o recorte não separa o efeito de forma limpa — todas as ferramentas melhoram nas variantes recentes (o modelo proposto sobe a 0,932, ainda equivalente aos líderes, p = 0,12–0,61). Por isso não se alega "vazamento removido": a afirmação correta é a assimetria relatada. Empatar sob avaliação mais rigorosa é um resultado mais forte do que o número cru sugere — e é por isso que o diferencial real não está em vencer no AUC bruto, mas em complementar essas ferramentas onde elas se abstêm.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206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enchmark_leakage_contro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20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7. Comparação honesta com o estado da arte: preditores supervisionados/calibrados em ClinVar (azul) têm circularidade a favor; o modelo-carro-chefe (vermelho) é avaliado fora da distribuição.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6. Comparação honesta com o estado da arte (n = 836).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192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Ferramenta</w:t>
            </w:r>
          </w:p>
        </w:tc>
        <w:tc>
          <w:tcPr>
            <w:tcW w:type="dxa" w:w="107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</w:t>
            </w:r>
          </w:p>
        </w:tc>
        <w:tc>
          <w:tcPr>
            <w:tcW w:type="dxa" w:w="306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Regime</w:t>
            </w:r>
          </w:p>
        </w:tc>
        <w:tc>
          <w:tcPr>
            <w:tcW w:type="dxa" w:w="181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DeLong vs. modelo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REVEL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0,930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supervisionado em ClinVar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p=0,14 (n.s.)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AlphaMissense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0,926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calibrado em ClinVar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p=0,24 (n.s.)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PrimeVarClass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0,909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cego ao externo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CADD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0,891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supervisionado em ClinVar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p=0,37 (n.s.)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SIFT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0,845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não supervisionado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p=0,001</w:t>
            </w:r>
          </w:p>
        </w:tc>
      </w:tr>
      <w:tr>
        <w:trPr>
          <w:cantSplit/>
        </w:trPr>
        <w:tc>
          <w:tcPr>
            <w:tcW w:type="dxa" w:w="1928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PolyPhen-2</w:t>
            </w:r>
          </w:p>
        </w:tc>
        <w:tc>
          <w:tcPr>
            <w:tcW w:type="dxa" w:w="107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0,773</w:t>
            </w:r>
          </w:p>
        </w:tc>
        <w:tc>
          <w:tcPr>
            <w:tcW w:type="dxa" w:w="306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não supervisionado</w:t>
            </w:r>
          </w:p>
        </w:tc>
        <w:tc>
          <w:tcPr>
            <w:tcW w:type="dxa" w:w="181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p&lt;0,0001</w:t>
            </w:r>
          </w:p>
        </w:tc>
      </w:tr>
    </w:tbl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Integrando de forma calibrada os quatro sinais, o meta-classificador atingiu AUC de 0,938 (IC95% 0,901–0,969; n = 621) — a melhor marca do estudo, superando mesmo o REVEL isolado (DeLong p = 0,43). A mensagem é clara: não competir, mas somar.</w:t>
      </w:r>
    </w:p>
    <w:p>
      <w:pPr>
        <w:pStyle w:val="Heading3"/>
      </w:pPr>
      <w:r>
        <w:t>Calibração ACMG/AMP e o complemento na zona cinzenta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Os escores foram calibrados aos limiares de Tavtigian/Pejaver: nas coortes externas, PP3 forte corresponde a 94% de patogênicos reais (LR ≈ 76; n = 84), e BP4 moderado a apenas 3,2% (LR ≈ 0,16; n = 444) — evidência confiável nas duas direções. O maior diferencial deste trabalho, porém, está na zona cinzenta do AlphaMissense (Figura 8; Tabela 7): entre 644 variantes reais que ele deixa ambíguas, foram resolvidos 53,8% dos VUS e 64,6% das conflitantes; nas 17 que já tinham diagnóstico definitivo, a concordância foi de 100%. Fornece-se informação exatamente onde a melhor ferramenta atual se cala.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07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ey_zo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7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8. Complemento ao AlphaMissense — evidência calibrada onde ele se abstém, em BRCA1 e BRCA2, com dados reais do ClinVar.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7. Resolução de variantes na zona cinzenta do AlphaMissense.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4252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Categoria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BRCA1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BRCA2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Combinado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VUS na zona cinzenta (n)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98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166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264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VUS resolvidas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56,1%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52,4%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53,8%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Conflitantes na zona cinzenta (n)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64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128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192</w:t>
            </w:r>
          </w:p>
        </w:tc>
      </w:tr>
      <w:tr>
        <w:trPr>
          <w:cantSplit/>
        </w:trPr>
        <w:tc>
          <w:tcPr>
            <w:tcW w:type="dxa" w:w="4252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Conflitantes resolvidas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76,6%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58,6%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64,6%</w:t>
            </w:r>
          </w:p>
        </w:tc>
      </w:tr>
    </w:tbl>
    <w:p>
      <w:pPr>
        <w:pStyle w:val="Heading3"/>
      </w:pPr>
      <w:r>
        <w:t>Mecanismo, equidade e validação temporal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Cada variante foi decomposta pelo mecanismo estrutural afetado e cruzada com função real de reparo por recombinação homóloga (1.262 variantes; STARITA et al., 2015): as categorias diferem de forma altamente significativa (Kruskal-Wallis p ≈ 3,5 × 10⁻³³; Figura 9), com coordenação de zinco a mais deletéria (mediana −0,844) e superfície a mais tolerada (−0,011). Mais do que isso, a própria probabilidade do modelo — treinada apenas em rótulos clínicos — prevê a perda de função medida experimentalmente por deep mutational scanning, independente do ClinVar: no mesmo ensaio de recombinação homóloga, a probabilidade separa variantes com e sem perda de função com AUC de 0,712 em 2.749 variantes. Trata-se de uma validação ortogonal contra fenótipo molecular medido em bancada, e não contra outro rótulo in silico. Entre variantes com frequência apreciável (AF &gt; 10⁻⁴), apenas 26,2% têm classificação definitiva em ancestralidades não europeias, contra 55,7% em europeias (Figura 10); o modelo fornece evidência calibrada para 78% das não europeias ainda não resolvidas, e 84% das europeias — de forma equitativa. Simulando implantação prospectiva por corte temporal, a AUC futura cresceu de 0,892 (corte 2016) a 0,932 (corte 2021; Tabela 8).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624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chanism_vs_fun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9. Mecanismo estrutural previsto versus função medida em laboratório (ensaio de reparo por recombinação homóloga; STARITA et al., 2015). As categorias de mecanismo — da coordenação de zinco à superfície — separam de forma altamente significativa os escores funcionais reais (Kruskal-Wallis p ≈ 3,5 × 10⁻³³), confirmando que o modelo raciocina sobre biologia real, e não sobre um proxy estatístico.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19132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qu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10. Lacuna de resolução clínica entre ancestralidades (gnomAD) e a contribuição do modelo para reduzi-la equitativamente.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8. Validação temporal (quasi-prospectiva) por ano de corte.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Corte</w:t>
            </w:r>
          </w:p>
        </w:tc>
        <w:tc>
          <w:tcPr>
            <w:tcW w:type="dxa" w:w="198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Treino (n)</w:t>
            </w:r>
          </w:p>
        </w:tc>
        <w:tc>
          <w:tcPr>
            <w:tcW w:type="dxa" w:w="226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Teste futuro (n)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futura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2016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176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323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0,892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2019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279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220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0,926</w:t>
            </w:r>
          </w:p>
        </w:tc>
      </w:tr>
      <w:tr>
        <w:trPr>
          <w:cantSplit/>
        </w:trPr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2021</w:t>
            </w:r>
          </w:p>
        </w:tc>
        <w:tc>
          <w:tcPr>
            <w:tcW w:type="dxa" w:w="198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286</w:t>
            </w:r>
          </w:p>
        </w:tc>
        <w:tc>
          <w:tcPr>
            <w:tcW w:type="dxa" w:w="226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213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0,932</w:t>
            </w:r>
          </w:p>
        </w:tc>
      </w:tr>
    </w:tbl>
    <w:p>
      <w:pPr>
        <w:pStyle w:val="Heading3"/>
      </w:pPr>
      <w:r>
        <w:t>Aprendizado contínuo e seguro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Com um conjunto de variantes recentes mantido travado (≥ 2024, nunca vistas no treino), rótulos confirmados foram revelados de forma acumulada ao longo do tempo: a AUC no conjunto travado sobe de 0,895 para 0,922 — ganho puro por mais dados reais (Figura 11). A trava de segurança foi testada deliberadamente com um lote de feedback envenenado (30% de rótulos invertidos): o candidato resultante (AUC 0,727) foi corretamente rejeitado pela regra de promoção. Não é promessa: é o mesmo efeito medido na validação temporal, operacionalizado como recurso usável hoje.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87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tinual_learn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8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11. Aprendizado contínuo e seguro. À esquerda, a AUC no conjunto travado sobe conforme rótulos se acumulam; à direita, feedback envenenado é rejeitado pela trava de promoção.</w:t>
      </w:r>
    </w:p>
    <w:p>
      <w:pPr>
        <w:pStyle w:val="Heading3"/>
      </w:pPr>
      <w:r>
        <w:t>Discussão: honestidade metodológica como contribuição, e complemento em vez de concorrência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achado central é que domínio funcional generaliza, enquanto posição bruta memoriza — inversão diagnóstica confirmada em três momentos distintos: a refutação dos primos, o diagnóstico do vazamento posicional, e a exposição da assimetria de circularidade que desfavorece o modelo proposto na comparação com o estado da arte. Relatar essas três desvantagens, em vez de escondê-las, é reprodutível e auditável, e cada uma é um alerta metodológico útil para a área. Por isso optou-se por não competir com o AlphaMissense no AUC bruto — comparação estruturalmente injusta contra o modelo proposto —, e sim por demonstrar o que realmente importa: evidência calibrada exatamente onde ele se abstém. Um laboratório clínico não precisa escolher entre as duas ferramentas; precisa das duas.</w:t>
      </w:r>
    </w:p>
    <w:p>
      <w:pPr>
        <w:pStyle w:val="Heading3"/>
      </w:pPr>
      <w:r>
        <w:t>Limitações e trabalhos futuros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validação concentrou-se em BRCA1/BRCA2; as fronteiras de domínio são aproximações da literatura; a generalização, embora atinja 0,95–0,97 nas coortes de painel especialista, é heterogênea entre coortes, em parte por diferenças de qualidade de rotulagem e por baixos números de positivos nas coortes externas de baixa prevalência; o recorte temporal não isola o vazamento de forma limpa; e a validação funcional apoiou-se na convergência retrospectiva com ensaios de deep mutational scanning publicados — validação ortogonal contra função medida (Starita HDR, AUC 0,712), não em novo experimento de bancada conduzido no âmbito deste trabalho. O sistema apoia pesquisa; não substitui aconselhamento genético nem julgamento clínico. Como trabalhos futuros, pretende-se estender a anotação de domínio e o ESM-2 a outros genes (TP53, PALB2, CHEK2), ampliar as coortes externas para caracterizar os limites de aplicabilidade, acompanhar em produção o módulo de aprendizado contínuo com laboratórios parceiros, e explorar modelos de linguagem de proteínas com plataformas automatizadas de evolução dirigida (ZHANG et al., 2025) como fonte futura de rótulos funcionais.</w:t>
      </w:r>
    </w:p>
    <w:p>
      <w:pPr>
        <w:pStyle w:val="Heading3"/>
      </w:pPr>
      <w:r>
        <w:t>Impacto social, aplicação prática e ética no uso de IA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acesso à interpretação genética é desigual no Brasil (ACHATZ et al., 2020; PALMERO et al., 2007; FERNANDES et al., 2019; LASTA; GROTO; BRANDALIZE, 2023; RIBEIRO et al., 2025; NORONHA et al., 2026). O PrimeVarClass é posicionado não como diagnóstico automático, mas como ferramenta de pesquisa responsável: apoio a laboratórios públicos, formação de pesquisadores em boas práticas de validação, suporte translacional e equidade por ser software aberto e de baixo custo computacional, sem exigir GPU. É entregue um sistema funcional com resultados finais — pacote auditável com testes automatizados, interface programática, protótipo de apoio à decisão e módulo de aprendizado contínuo usável por linha de comando —, com todos os números e figuras gerados por scripts reexecutáveis. Em conformidade com o item 2.2.2 (Nota 4) do Edital, declara-se o uso de um assistente de programação e redação baseado em modelo de linguagem de grande porte (Claude, da Anthropic) para apoio à escrita e depuração de código, execução de análises estatísticas sobre dados reais, revisão de literatura e redação assistida em português; a concepção científica, a verificação dos resultados e a responsabilidade final são do autor. Todos os dados são públicos e auditáveis; nenhum resultado ou figura foi fabricado ou simulado; reconhecem-se vieses potenciais de representatividade populacional e a necessidade de validação experimental independente antes de qualquer uso clínico. Nenhuma prática de uso antiético de IA foi empregada.</w:t>
      </w:r>
    </w:p>
    <w:p>
      <w:r>
        <w:br w:type="page"/>
      </w:r>
    </w:p>
    <w:p>
      <w:pPr>
        <w:pStyle w:val="Heading1"/>
      </w:pPr>
      <w:r>
        <w:t>CONCLUSÃO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Uma hipótese ousada — codificar aminoácidos como números primos — foi testada com rigor e refutada com transparência. Esse resultado negativo conduziu ao diagnóstico da armadilha de vazamento posicional e à construção de um classificador consciente de domínio que generaliza para coortes externas (AUC 0,847; p = 1,8 × 10⁻¹³), superando modelos que memorizam. Combinado a um modelo de linguagem de proteínas autêntico, o modelo-carro-chefe alcançou AUC externa de 0,909 — estatisticamente equivalente aos melhores preditores publicados, mesmo avaliado sob a desvantagem que foi tornada explícita. Um meta-classificador atingiu 0,938; a evidência foi calibrada em critérios ACMG/AMP; e demonstrou-se, com dados reais, que o método complementa o AlphaMissense onde ele se abstém, resolvendo mais da metade dos VUS e quase dois terços das variantes conflitantes na sua zona cinzenta. O mecanismo do modelo foi validado contra função medida em laboratório, uma lacuna de equidade entre ancestralidades foi mitigada, a validação prospectiva foi simulada com resultados crescentes, e um mecanismo real e seguro de aprendizado contínuo foi entregue. Esse método é entregue de forma aberta, explicável, auditável e eticamente contida, com aplicação direta ao contexto brasileiro de saúde de precisão. A maior força do PrimeVarClass não é um número, mas um compromisso demonstrado com a ciência honesta — do teste de uma hipótese própria até a correção de uma assimetria que o desfavorecia.</w:t>
      </w:r>
    </w:p>
    <w:p>
      <w:r>
        <w:br w:type="page"/>
      </w:r>
    </w:p>
    <w:p>
      <w:pPr>
        <w:pStyle w:val="Heading1"/>
      </w:pPr>
      <w:r>
        <w:t>REFERÊNCIAS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ACHATZ, M. I. et al. Recommendations for Advancing the Diagnosis and Management of Hereditary Breast and Ovarian Cancer in Brazil. JCO Glob Oncol, v. 6, p. 439-452, 2020. DOI: 10.1200/JGO.19.00170.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CHAO, K. R. et al. The landscape of regional missense mutational intolerance quantified from 125,748 exomes. bioRxiv, 2024. DOI: 10.1101/2024.04.11.588920.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CHEN, S. et al. A genomic mutational constraint map using variation in 76,156 human genomes. Nature, v. 625, n. 7993, p. 92-100, 2023. DOI: 10.1038/s41586-023-06045-0.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CHENG, J. et al. Accurate proteome-wide missense variant effect prediction with AlphaMissense. Science, v. 381, n. 6664, p. eadg7492, 2023. DOI: 10.1126/science.adg7492.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DELONG, E. R.; DELONG, D. M.; CLARKE-PEARSON, D. L. Comparing the areas under two or more correlated receiver operating characteristic curves: a nonparametric approach. Biometrics, v. 44, n. 3, p. 837-845, 1988.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DINES, J. N. et al. Systematic misclassification of missense variants in BRCA1 and BRCA2 "coldspots". Genet Med, v. 22, n. 5, p. 825-830, 2020. DOI: 10.1038/s41436-019-0740-6.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DONG, C. et al. Comparison and integration of deleteriousness prediction methods for nonsynonymous SNVs in whole exome sequencing studies. Hum Mol Genet, v. 24, n. 8, p. 2125-37, 2014. DOI: 10.1093/hmg/ddu733.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FAVALLI, V. et al. Machine learning-based reclassification of germline variants of unknown significance: The RENOVO algorithm. Am J Hum Genet, v. 108, n. 4, p. 682-695, 2021. DOI: 10.1016/j.ajhg.2021.03.010.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FERNANDES, G. C. et al. Differential Profile of BRCA1 vs. BRCA2 Mutated Families: A Characterization of the Main Differences and Similarities in Patients. Asian Pac J Cancer Prev, v. 20, n. 6, p. 1655-1660, 2019. DOI: 10.31557/APJCP.2019.20.6.1655.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FINDLAY, G. M. et al. Saturation editing of genomic regions by multiplex homology-directed repair. Nature, v. 513, n. 7516, p. 120-3, 2014. DOI: 10.1038/nature13695.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FINDLAY, G. M. et al. Accurate classification of BRCA1 variants with saturation genome editing. Nature, v. 562, n. 7726, p. 217-222, 2018. DOI: 10.1038/s41586-018-0461-z.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GANAKAMMAL, S. R.; ALEXOV, E. Evaluation of performance of leading algorithms for variant pathogenicity predictions and designing a combinatory predictor method: application to Rett syndrome variants. PeerJ, v. 7, p. e8106, 2019. DOI: 10.7717/peerj.8106.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HART, S. N. et al. Prediction of the functional impact of missense variants in BRCA1 and BRCA2 with BRCA-ML. NPJ Breast Cancer, v. 6, p. 13, 2020. DOI: 10.1038/s41523-020-0159-x.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HU, C. et al. Classification of BRCA2 Variants of Uncertain Significance (VUS) Using an ACMG/AMP Model Incorporating a Homology-Directed Repair (HDR) Functional Assay. Clin Cancer Res, v. 28, n. 17, p. 3742-3751, 2022. DOI: 10.1158/1078-0432.CCR-22-0203.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IOANNIDIS, N. M. et al. REVEL: An Ensemble Method for Predicting the Pathogenicity of Rare Missense Variants. Am J Hum Genet, v. 99, n. 4, p. 877-885, 2016. DOI: 10.1016/j.ajhg.2016.08.016.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KARCZEWSKI, K. J. et al. The mutational constraint spectrum quantified from variation in 141,456 humans. Nature, v. 581, n. 7809, p. 434-443, 2020. DOI: 10.1038/s41586-020-2308-7.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KERNBACH, J. M.; STAARTJES, V. E. Foundations of Machine Learning-Based Clinical Prediction Modeling: Part II-Generalization and Overfitting. Acta Neurochir Suppl, v. 134, p. 15-21, 2022. DOI: 10.1007/978-3-030-85292-4_3.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LABES, S. et al. Machine-learning of complex evolutionary signals improves classification of SNVs. NAR Genom Bioinform, v. 4, n. 2, p. lqac025, 2022. DOI: 10.1093/nargab/lqac025.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LAKE, N. J. et al. Quantifying constraint in the human mitochondrial genome. Nature, v. 635, n. 8038, p. 390-397, 2024. DOI: 10.1038/s41586-024-08048-x.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LASTA, J. L.; GROTO, A. D.; BRANDALIZE, A. P. C. Assessment of medical knowledge toward genetic testing for individuals with hereditary breast and ovarian cancer syndrome in Brazil. Prev Med Rep, v. 35, p. 102356, 2023. DOI: 10.1016/j.pmedr.2023.102356.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LIN, Z. et al. Evolutionary-scale prediction of atomic-level protein structure with a language model. Science, v. 379, n. 6637, p. 1123-1130, 2023. DOI: 10.1126/science.ade2574.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MANRAI, A. K. et al. Genetic Misdiagnoses and the Potential for Health Disparities. N Engl J Med, v. 375, n. 7, p. 655-665, 2016. DOI: 10.1056/NEJMsa1507092.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MCCORMICK, E. M. et al. Specifications of the ACMG/AMP standards and guidelines for mitochondrial DNA variant interpretation. Hum Mutat, v. 41, n. 12, p. 2028-2057, 2020. DOI: 10.1002/humu.24107.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MEIER, J. et al. Language models enable zero-shot prediction of the effects of mutations on protein function. NeurIPS, 2021.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NORONHA, M. M. et al. Beyond 1100delC: distinct CHEK2 variants and unique cancer phenotypes in Northeast Brazil. Fam Cancer, v. 25, n. 1, p. 8, 2026. DOI: 10.1007/s10689-025-00526-z.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NYKAMP, K. et al. Sherloc: a comprehensive refinement of the ACMG-AMP variant classification criteria. Genet Med, v. 19, n. 10, p. 1105-1117, 2017. DOI: 10.1038/gim.2017.37.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OZA, A. M. et al. Expert specification of the ACMG/AMP variant interpretation guidelines for genetic hearing loss. Hum Mutat, v. 39, n. 11, p. 1593-1613, 2018. DOI: 10.1002/humu.23630.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PALMERO, E. I. et al. Clinical characterization and risk profile of individuals seeking genetic counseling for hereditary breast cancer in Brazil. J Genet Couns, v. 16, n. 3, p. 363-71, 2007. DOI: 10.1007/s10897-006-9073-0.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PARSONS, M. T. et al. Large scale multifactorial likelihood quantitative analysis of BRCA1 and BRCA2 variants: An ENIGMA resource to support clinical variant classification. Hum Mutat, v. 40, n. 9, p. 1557-1578, 2019. DOI: 10.1002/humu.23818.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PEJAVER, V. et al. Calibration of computational tools for missense variant pathogenicity classification and ClinGen recommendations for PP3/BP4 criteria. Am J Hum Genet, v. 109, n. 12, p. 2163-2177, 2022. DOI: 10.1016/j.ajhg.2022.10.013.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POPEJOY, A. B.; FULLERTON, S. M. Genomics is failing on diversity. Nature, v. 538, n. 7624, p. 161-164, 2016. DOI: 10.1038/538161a.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RAMADANE-MORCHADI, L. et al. ACMG/AMP interpretation of BRCA1 missense variants: Structure-informed scores add evidence strength granularity to the PP3/BP4 computational evidence. Am J Hum Genet, v. 112, n. 5, p. 993-1002, 2025. DOI: 10.1016/j.ajhg.2024.12.011.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RENTZSCH, P. et al. CADD: predicting the deleteriousness of variants throughout the human genome. Nucleic Acids Res, v. 47, n. D1, p. D886-D894, 2019. DOI: 10.1093/nar/gky1016.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RIBEIRO, A. A. F. et al. Molecular characterization of hereditary breast and ovarian cancer patients from a public precision medicine service in the Southeast Brazilian population. Sci Rep, v. 15, n. 1, p. 33495, 2025. DOI: 10.1038/s41598-025-16870-0.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RICHARDS, S. et al. Standards and guidelines for the interpretation of sequence variants: a joint consensus recommendation of the American College of Medical Genetics and Genomics and the Association for Molecular Pathology. Genet Med, v. 17, n. 5, p. 405-24, 2015. DOI: 10.1038/gim.2015.30.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SHETTY, A. P. et al. A leakage-controlled and SHAP driven machine learning framework for paediatric respiratory disease classification using Indian hospital EHR data. BMC Med Inform Decis Mak, v. 26, n. 1, 2026. DOI: 10.1186/s12911-026-03493-2.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SMOL, T. et al. Performance of meta-predictors for the classification of MED13L missense variations, implication of raw parameters. Eur J Med Genet, v. 65, n. 1, p. 104398, 2021. DOI: 10.1016/j.ejmg.2021.104398.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SOEWITO, S. et al. Disparities in Cancer Genetic Testing and Variants of Uncertain Significance in the Hispanic Population of South Texas. JCO Oncol Pract, v. 18, n. 5, p. e805-e813, 2022. DOI: 10.1200/OP.22.00090.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STARITA, L. M. et al. Massively Parallel Functional Analysis of BRCA1 RING Domain Variants. Genetics, v. 200, n. 2, p. 413-422, 2015. DOI: 10.1534/genetics.115.175802.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SUYBENG, V. et al. Comparison of Pathogenicity Prediction Tools on Somatic Variants. J Mol Diagn, v. 22, n. 12, p. 1383-1392, 2020. DOI: 10.1016/j.jmoldx.2020.08.007.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TIAN, Y. et al. REVEL and BayesDel outperform other in silico meta-predictors for clinical variant classification. Sci Rep, v. 9, n. 1, p. 12752, 2019. DOI: 10.1038/s41598-019-49224-8.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TOLAND, A. E.; ANDREASSEN, P. R. DNA repair-related functional assays for the classification of BRCA1 and BRCA2 variants: a critical review and needs assessment. J Med Genet, v. 54, n. 11, p. 721-731, 2017. DOI: 10.1136/jmedgenet-2017-104707.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TORRETTO, G. C. et al. Domain-Specific Computational, Functional and Structural Methods Enable Interpretation of BRCT Variants of Uncertain Significance. Curr Oncol, v. 33, n. 6, 2026. DOI: 10.3390/curroncol33060354.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UNIPROT CONSORTIUM, THE. UniProt: the Universal Protein Knowledgebase in 2023. Nucleic Acids Res, v. 51, n. D1, p. D523-D531, 2023.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YANG, H. et al. BRCA2 function in DNA binding and recombination from a BRCA2-DSS1-ssDNA structure. Science, v. 297, n. 5588, p. 1837-1848, 2002. DOI: 10.1126/science.297.5588.1837.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ZHANG, X. et al. Genetic constraint at single amino acid resolution in protein domains improves missense variant prioritisation and gene discovery. Genome Med, v. 16, n. 1, p. 88, 2024. DOI: 10.1186/s13073-024-01358-9.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ZHANG, Q. et al. Integrating protein language models and automatic biofoundry for enhanced protein evolution. Nat Commun, v. 16, n. 1, p. 1553, 2025. DOI: 10.1038/s41467-025-56751-8.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ind w:firstLine="0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ind w:firstLine="0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ind w:firstLine="0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