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nasceu de uma hipótese pouco convencional: codificar aminoácidos pela estrutura dos números primos revelaria padrões de patogenicidade em variantes missense de BRCA1/BRCA2? Sob validação cruzada bloqueada por posição e coortes externas nunca vistas no treino, a hipótese foi refutada com transparência: a codificação por primos ficou abaixo de uma identidade trivial de aminoácidos (AUC externa 0,681 vs. 0,718; p = 0,045) e piorou um modelo bioquímico ao ser adicionada (de 0,791 para 0,765; p = 3,8 × 10⁻⁸). O processo revelou uma armadilha de vazamento posicional que infla benchmarks internos. A evidência apontou o caminho real: um classificador consciente de domínio funcional (RING/BRCT de BRCA1; domínio de ligação ao DNA de BRCA2) generalizou para coortes externas com AUC 0,847, superando o modelo com posição bruta (0,791; p = 1,8 × 10⁻¹³). Combinado a um modelo de linguagem de proteínas (ESM-2), o modelo-carro-chefe atingiu AUC externa de 0,909, estatisticamente equivalente aos melhores preditores publicados (AlphaMissense 0,926; REVEL 0,930; CADD 0,891; DeLong p = 0,14 a 0,37), embora avaliado em desvantagem, pois esses preditores carregam circularidade com os próprios rótulos de teste e o modelo proposto não. Um meta-classificador integrando todos os sinais atingiu 0,938. Os escores foram calibrados em força de evidência ACMG/AMP; entre as 644 variantes que o AlphaMissense deixa ambíguas, o modelo forneceu evidência calibrada para 53,8% dos VUS e 64,6% das conflitantes (96,7% de concordância no subconjunto verificável, 29 de 30 chamadas), complementando o AlphaMissense em vez de competir com ele. O mecanismo estrutural foi validado contra função real de reparo por recombinação homóloga (Kruskal-Wallis p ≈ 3,5 × 10⁻³³), uma lacuna de equidade entre ancestralidades foi quantificada e parcialmente mitigada, e um mecanismo seguro de aprendizado contínuo elevou a AUC de 0,916 para 0,928 sob uma trava que rejeita atualizações prejudiciais. Em teste genuinamente prospectivo, o modelo previu como a comunidade reclassificaria 227 VUS de 2023 (AUC 0,929; IC95% 0,892–0,961) e, nesse conjunto livre de vazamento, superou o REVEL e empatou com o AlphaMissense; a mesma receita generalizou, com dados reais do ClinVar, para TP53, von Hippel-Lindau, Lynch e MEN2 (AUC 0,72–0,91). Entregue como plataforma aberta, auditável e reprodutível, a contribuição central não é um número inflado, mas um método rigoroso e generalizável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6118526"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6118526"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A hipótese foi testada sob o protocolo anti-vazamento (Tabela 1). Os primos tiveram desempenho inferior à identidade trivial e pioraram um modelo bioquímico ao serem adicionados.</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Com a substituição da posição bruta por região funcional, obteve-se um modelo que generaliza melhor externamente (Tabela 2;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Tabela 2.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DeLong domínio vs. bioquímico: p = 3,2 × 10⁻⁹ (interno), p = 1,8 × 10⁻¹³ (externo). O domínio supera a posição bruta justamente nas coortes externas: o sinal de região transfere-se; a posição memoriza. A coluna 'CV bloqueada' (aqui e na Tabela 3) reporta uma execução de referência (5 folds, semente fixa); a média de 12 sementes consta no texto (seção Robustez).</w:t>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6967724"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967724"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Sobre o RING de BRCA1 (PDB 1JM7), as zonas de maior sensibilidade do modelo coincidem exatamente com as cisteínas que coordenam os dois íons de zinco estruturais, sem que essa coordenação tivesse sido informada ao modelo (mapa de detecção no Material Suplementar). A Figura 3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93">
      <w:pPr>
        <w:spacing w:after="240" w:lineRule="auto"/>
        <w:ind w:firstLine="0"/>
        <w:jc w:val="left"/>
        <w:rPr/>
      </w:pPr>
      <w:r>
        <w:rPr>
          <w:b w:val="1"/>
          <w:bCs w:val="1"/>
          <w:sz w:val="20"/>
          <w:szCs w:val="20"/>
          <w:rtl w:val="0"/>
        </w:rPr>
        <w:t>Figura 3.</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as mesmas zonas de risco (o núcleo funcional de cada domínio) emergem de forma independente em BRCA1 (BRCT) e BRCA2 (DBD), assinatura estrutural comum e não sinal ajustado a um único gene (renders estruturais no Material Suplementar).</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3;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4),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Tabela 3.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Tabela 4.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4; Tabela 5).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Figura 4.</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5.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5; Tabela 6): entre 644 variantes reais que ele deixa ambíguas: 264 VUS e 192 conflitantes (Tabela 6),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(53 variantes), no qual a concordância foi de 96,7% (29 de 30 chamadas).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Figura 5.</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4952255"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52255"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Tabela 6.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Material Suplementar, Figura S9),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(Material Suplementar, Figura S8); o modelo fornece evidência calibrada para 78% das não europeias ainda não resolvidas, e 84% das europeias, de forma equitativa. Simulando implantação prospectiva por corte temporal, a AUC futura cresceu de 0,908 (corte 2016) a 0,931 (corte 2021; Tabela 7).</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Tabela 7.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182</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1151</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0,908</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300</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1033</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0,927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339</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994</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0,931</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0,916 para 0,928, ganho puro por mais dados reais (Figura 6). A trava de segurança foi testada deliberadamente com um lote de feedback envenenado (30% de rótulos invertidos): o candidato resultante (AUC 0,755)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Figura 6.</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7A): a partir de um snapshot histórico do ClinVar (junho/2023), foram identificadas 227 variantes de BRCA1/BRCA2 que eram VUS ou conflitantes em 2023 e só foram resolvidas a patogênicas/benignas até 2026. Um modelo treinado apenas no que era definitivo em 2023 (portanto cego a essas variantes) previu a resolução da comunidade com AUC de 0,929 (IC95% 0,892–0,961), e 93% de acerto nas 148 chamadas de alta confiança. Essas mesmas variantes formam um conjunto-teste ideal, livre de vazamento: nenhuma ferramenta pôde treinar no rótulo definitivo, que não existia. Nele (Figura 7B), medido no mesmo subconjunto que cada ferramenta cobre, o PrimeVarClass (0,900) supera o REVEL (0,849) e empata com o AlphaMissense (0,908), enquanto o CADD (0,963) permanece à frente. A cobertura de terceiros nesse conjunto é pequena (n = 41 a 42), com intervalos de confiança amplamente sobrepostos e sem diferença significativa: o resultado atenua a vantagem aparente que REVEL e CADD exibem no benchmark completo, mas é corroboração parcial do argumento de circularidade, não prova.</w:t>
      </w:r>
    </w:p>
    <w:p w:rsidR="00000000" w:rsidDel="00000000" w:rsidP="00000000" w:rsidRDefault="00000000" w:rsidRPr="00000000" w14:paraId="00000136">
      <w:pPr>
        <w:spacing w:after="240" w:lineRule="auto"/>
        <w:ind w:firstLine="0"/>
        <w:jc w:val="left"/>
        <w:rPr/>
      </w:pPr>
      <w:r>
        <w:rPr>
          <w:b w:val="1"/>
          <w:bCs w:val="1"/>
          <w:sz w:val="20"/>
          <w:szCs w:val="20"/>
          <w:rtl w:val="0"/>
        </w:rPr>
        <w:t>Figura 7.</w:t>
      </w:r>
      <w:r>
        <w:rPr>
          <w:sz w:val="20"/>
          <w:szCs w:val="20"/>
          <w:rtl w:val="0"/>
        </w:rPr>
        <w:t xml:space="preserve"> Validação prospectiva. (A) Variantes que eram VUS no ClinVar de 2023 e só foram resolvidas até 2026: o modelo, cego a elas, separa as que viriam a ser benignas das patogênicas (AUC 0,929; 93% de acerto nas chamadas de alta confiança). (B) Nessas variantes livres de vazamento (que nenhuma ferramenta pôde ter visto) o PrimeVarClass supera o REVEL e empata com o AlphaMissense, o que atenua a vantagem do benchmark completo; o CADD (0,963) fica à frente. As coberturas de terceiros são pequenas (n = 41 a 42) e as diferenças não são significativas.</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0,649 (bioquímico) para 0,754 (+domínio) e 0,888 (+ESM-2, o mesmo modelo de 650M do carro-chefe), reproduzindo em gene novo o ganho de BRCA. A fronteira é instrutiva: no ATM, de patogenicidade espacialmente difusa, a consciência de domínio praticamente não altera o sinal (0,687 para 0,690), mas o modelo de linguagem o eleva a 0,835 (n = 147), os dois componentes são complementares de modo dependente do gene. Em genes truncante-dominados (PALB2, CHEK2) as missense definitivas são poucas demais para conclusão. Com rótulos reais do ClinVar, a receita completa generalizou ainda para Lynch (MSH6 0,91; MSH2 0,89; MLH1 0,79), MEN2 (RET 0,84) e von Hippel-Lindau (VHL 0,72, o mais fraco e com intervalo largo, n = 86); em todos eles o ESM-2 é o componente que eleva o sinal (Figura S12b).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confirmada em três momentos: a refutação dos primos, o diagnóstico do vazamento posicional e a exposição da assimetria de circularidade que desfavorece o modelo frente ao estado da arte. Relatar essas três desvantagens, em vez de escondê-las, torna o trabalho auditável, e cada uma serve de alerta metodológico para a área. A refutação dos primos funciona como controle negativo interno: o mesmo protocolo que atribui p = 1,8 × 10⁻¹³ ao sinal de domínio rejeita o dos primos, prova de que não valida qualquer característica indiscriminadamente. Somam-se dois pontos de rigor: hiperparâmetros fixados a priori, sem ajuste nas coortes de teste; e afirmações centrais (p entre 10⁻⁸ e 10⁻¹³) que sobrevivem à correção de Bonferroni/FDR, exceto a comparação marginal primos-vs-identidade (p = 0,045), tratada como apoio e não como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na validação prospectiva (227 variantes), a cobertura dos preditores de terceiros restringe a comparação pareada a 41 a 42 variantes, o que limita o poder estatístico;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O PrimeVarClass nasceu do rigor: uma hipótese própria testada e refutada sem rodeios, um vazamento metodológico diagnosticado e corrigido, e uma desvantagem de avaliação assumida em vez de escondida. Foi essa disciplina que conduziu ao método que funciona: um classificador consciente de domínio e de linguagem proteica que, validado externamente e calibrado em força de evidência ACMG/AMP, alcança o mesmo patamar dos melhores preditores publicados (AUC externa 0,909) sem depender de GPU nem de rótulos que já viu. Seu valor prático não está em vencer um número de AUC, mas em complementar as ferramentas de ponta exatamente onde elas se calam, entregando evidência interpretável e acionável para as variantes de significado incerto que hoje paralisam laudos, com generalização já demonstrada para além de BRCA. Aberto, auditável, reprodutível e capaz de melhorar com o uso sob salvaguardas, o sistema é uma contribuição concreta para a interpretação genética responsável no Brasil, e um exemplo de como o rigor científico, mais do que o entusiasmo, distingue a inteligência artificial confiável em saúde.</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