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360"/>
        <w:ind w:firstLine="0"/>
        <w:jc w:val="center"/>
      </w:pPr>
      <w:r>
        <w:rPr>
          <w:rFonts w:ascii="Arial" w:hAnsi="Arial"/>
          <w:b/>
          <w:i w:val="0"/>
          <w:sz w:val="30"/>
        </w:rPr>
        <w:t>PrimeVarClass: da hipótese dos números primos a um classificador de variantes BRCA1/BRCA2 consciente de domínio, validado externamente e complementar ao estado da arte</w:t>
      </w:r>
    </w:p>
    <w:p>
      <w:pPr>
        <w:spacing w:before="0" w:after="80"/>
        <w:ind w:firstLine="0"/>
        <w:jc w:val="center"/>
      </w:pPr>
      <w:r>
        <w:rPr>
          <w:rFonts w:ascii="Arial" w:hAnsi="Arial"/>
          <w:b w:val="0"/>
          <w:i/>
          <w:sz w:val="24"/>
        </w:rPr>
        <w:t>32º Prêmio Jovem Cientista — Categoria Estudante do Ensino Superior</w:t>
      </w:r>
    </w:p>
    <w:p>
      <w:pPr>
        <w:spacing w:before="0" w:after="360"/>
        <w:ind w:firstLine="0"/>
        <w:jc w:val="center"/>
      </w:pPr>
      <w:r>
        <w:rPr>
          <w:rFonts w:ascii="Arial" w:hAnsi="Arial"/>
          <w:b w:val="0"/>
          <w:i/>
          <w:sz w:val="24"/>
        </w:rPr>
        <w:t>Tema: Inteligência Artificial para o Bem Comum — Subtema: Inteligência Artificial &amp; Saúde (item 1.4.1.b do Edital)</w:t>
      </w:r>
    </w:p>
    <w:p>
      <w:pPr>
        <w:ind w:firstLine="0"/>
      </w:pPr>
      <w:r>
        <w:rPr>
          <w:rFonts w:ascii="Arial" w:hAnsi="Arial"/>
          <w:b/>
          <w:sz w:val="24"/>
        </w:rPr>
        <w:t xml:space="preserve">Autor: </w:t>
      </w:r>
      <w:r>
        <w:rPr>
          <w:rFonts w:ascii="Arial" w:hAnsi="Arial"/>
          <w:sz w:val="24"/>
        </w:rPr>
        <w:t>Wesley Felipe Capucho — graduando em Engenharia Bioquímica</w:t>
      </w:r>
    </w:p>
    <w:p>
      <w:pPr>
        <w:ind w:firstLine="0"/>
      </w:pPr>
      <w:r>
        <w:rPr>
          <w:rFonts w:ascii="Arial" w:hAnsi="Arial"/>
          <w:b/>
          <w:sz w:val="24"/>
        </w:rPr>
        <w:t xml:space="preserve">Orientador(a): </w:t>
      </w:r>
      <w:r>
        <w:rPr>
          <w:rFonts w:ascii="Arial" w:hAnsi="Arial"/>
          <w:sz w:val="24"/>
        </w:rPr>
        <w:t>⟨a definir⟩</w:t>
      </w:r>
    </w:p>
    <w:p>
      <w:pPr>
        <w:ind w:firstLine="0"/>
      </w:pPr>
      <w:r>
        <w:rPr>
          <w:rFonts w:ascii="Arial" w:hAnsi="Arial"/>
          <w:b/>
          <w:sz w:val="24"/>
        </w:rPr>
        <w:t xml:space="preserve">Instituição de vínculo: </w:t>
      </w:r>
      <w:r>
        <w:rPr>
          <w:rFonts w:ascii="Arial" w:hAnsi="Arial"/>
          <w:sz w:val="24"/>
        </w:rPr>
        <w:t>Escola de Engenharia de Lorena, Universidade de São Paulo (EEL-USP) — Estrada Municipal do Campinho, s/nº, Ponte Nova, Lorena – SP, CEP 12602-810. E-mail: wesleycapucho@usp.br. Telefone: ⟨a definir⟩.</w:t>
      </w:r>
    </w:p>
    <w:p>
      <w:pPr>
        <w:ind w:firstLine="0"/>
      </w:pPr>
      <w:r>
        <w:rPr>
          <w:rFonts w:ascii="Arial" w:hAnsi="Arial"/>
          <w:b/>
          <w:sz w:val="24"/>
        </w:rPr>
        <w:t xml:space="preserve">Instituição onde a pesquisa foi desenvolvida: </w:t>
      </w:r>
      <w:r>
        <w:rPr>
          <w:rFonts w:ascii="Arial" w:hAnsi="Arial"/>
          <w:sz w:val="24"/>
        </w:rPr>
        <w:t>Escola de Engenharia de Lorena, Universidade de São Paulo (EEL-USP), Lorena – SP, Brasil.</w:t>
      </w:r>
    </w:p>
    <w:p/>
    <w:p>
      <w:pPr>
        <w:ind w:firstLine="0"/>
      </w:pPr>
      <w:r>
        <w:rPr>
          <w:rFonts w:ascii="Arial" w:hAnsi="Arial"/>
          <w:b/>
          <w:sz w:val="24"/>
        </w:rPr>
        <w:t xml:space="preserve">Palavras-chave: </w:t>
      </w:r>
      <w:r>
        <w:rPr>
          <w:rFonts w:ascii="Arial" w:hAnsi="Arial"/>
          <w:sz w:val="24"/>
        </w:rPr>
        <w:t>variantes de significado incerto; BRCA1/BRCA2; validação externa; domínios funcionais de proteínas; inteligência artificial em saúde.</w:t>
      </w:r>
    </w:p>
    <w:p>
      <w:r>
        <w:br w:type="page"/>
      </w:r>
    </w:p>
    <w:p>
      <w:pPr>
        <w:pStyle w:val="Heading1"/>
      </w:pPr>
      <w:r>
        <w:t>APRESENTAÇÃO</w:t>
      </w:r>
    </w:p>
    <w:p>
      <w:pPr>
        <w:pStyle w:val="Heading2"/>
      </w:pPr>
      <w:r>
        <w:t>Resumo</w:t>
      </w:r>
    </w:p>
    <w:p>
      <w:pPr>
        <w:spacing w:before="0" w:after="160"/>
        <w:ind w:firstLine="709"/>
      </w:pPr>
      <w:r>
        <w:rPr>
          <w:rFonts w:ascii="Arial" w:hAnsi="Arial"/>
          <w:b w:val="0"/>
          <w:i w:val="0"/>
          <w:sz w:val="24"/>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o método também generalizou para o TP53 (AUC até 0,912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pPr>
        <w:pStyle w:val="Heading2"/>
      </w:pPr>
      <w:r>
        <w:t>Introdução</w:t>
      </w:r>
    </w:p>
    <w:p>
      <w:pPr>
        <w:pStyle w:val="Heading3"/>
      </w:pPr>
      <w:r>
        <w:t>O problema clínico e social</w:t>
      </w:r>
    </w:p>
    <w:p>
      <w:pPr>
        <w:spacing w:before="0" w:after="80"/>
        <w:ind w:firstLine="709"/>
      </w:pPr>
      <w:r>
        <w:rPr>
          <w:rFonts w:ascii="Arial" w:hAnsi="Arial"/>
          <w:b w:val="0"/>
          <w:i w:val="0"/>
          <w:sz w:val="24"/>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pPr>
        <w:spacing w:before="200"/>
        <w:ind w:firstLine="0"/>
        <w:jc w:val="center"/>
      </w:pPr>
      <w:r>
        <w:drawing>
          <wp:inline xmlns:a="http://schemas.openxmlformats.org/drawingml/2006/main" xmlns:pic="http://schemas.openxmlformats.org/drawingml/2006/picture">
            <wp:extent cx="4572000" cy="2607986"/>
            <wp:docPr id="1" name="Picture 1"/>
            <wp:cNvGraphicFramePr>
              <a:graphicFrameLocks noChangeAspect="1"/>
            </wp:cNvGraphicFramePr>
            <a:graphic>
              <a:graphicData uri="http://schemas.openxmlformats.org/drawingml/2006/picture">
                <pic:pic>
                  <pic:nvPicPr>
                    <pic:cNvPr id="0" name="fig_disease_mechanism.png"/>
                    <pic:cNvPicPr/>
                  </pic:nvPicPr>
                  <pic:blipFill>
                    <a:blip r:embed="rId9"/>
                    <a:stretch>
                      <a:fillRect/>
                    </a:stretch>
                  </pic:blipFill>
                  <pic:spPr>
                    <a:xfrm>
                      <a:off x="0" y="0"/>
                      <a:ext cx="4572000" cy="2607986"/>
                    </a:xfrm>
                    <a:prstGeom prst="rect"/>
                  </pic:spPr>
                </pic:pic>
              </a:graphicData>
            </a:graphic>
          </wp:inline>
        </w:drawing>
      </w:r>
    </w:p>
    <w:p>
      <w:pPr>
        <w:spacing w:after="240"/>
        <w:ind w:firstLine="0"/>
        <w:jc w:val="center"/>
      </w:pPr>
      <w:r>
        <w:rPr>
          <w:rFonts w:ascii="Arial" w:hAnsi="Arial"/>
          <w:i/>
          <w:sz w:val="20"/>
        </w:rPr>
        <w:t>Figura 1.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p>
    <w:p>
      <w:pPr>
        <w:spacing w:before="0" w:after="0"/>
        <w:ind w:firstLine="709"/>
      </w:pPr>
      <w:r>
        <w:rPr>
          <w:rFonts w:ascii="Arial" w:hAnsi="Arial"/>
          <w:b w:val="0"/>
          <w:i w:val="0"/>
          <w:sz w:val="24"/>
        </w:rPr>
        <w:t>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p>
    <w:p>
      <w:pPr>
        <w:pStyle w:val="Heading3"/>
      </w:pPr>
      <w:r>
        <w:t>A lacuna metodológica e o estado da arte</w:t>
      </w:r>
    </w:p>
    <w:p>
      <w:pPr>
        <w:spacing w:before="0" w:after="0"/>
        <w:ind w:firstLine="709"/>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GANAKAMMAL; ALEXOV, 2019; SUYBENG et al., 2020; SMOL et al., 2021; DONG et al., 2014; LABES et al., 2022),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CHAO et al., 2024; LAKE et al., 2024; TORRETTO et al., 2026).</w:t>
      </w:r>
    </w:p>
    <w:p>
      <w:pPr>
        <w:pStyle w:val="Heading3"/>
      </w:pPr>
      <w:r>
        <w:t>A jornada científica: por que "Prime"</w:t>
      </w:r>
    </w:p>
    <w:p>
      <w:pPr>
        <w:spacing w:before="0" w:after="0"/>
        <w:ind w:firstLine="709"/>
      </w:pPr>
      <w:r>
        <w:rPr>
          <w:rFonts w:ascii="Arial" w:hAnsi="Arial"/>
          <w:b w:val="0"/>
          <w:i w:val="0"/>
          <w:sz w:val="24"/>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Sustenta-se que essa trajetória — hipótese ousada, teste rigoroso, refutação transparente, redirecionamento para o que funciona — é, em si, contribuição científica tão valiosa quanto qualquer resultado positivo isolado, e o antídoto direto contra alegações infladas de inteligência artificial em saúde.</w:t>
      </w:r>
    </w:p>
    <w:p>
      <w:pPr>
        <w:pStyle w:val="Heading2"/>
      </w:pPr>
      <w:r>
        <w:t>Objetivos</w:t>
      </w:r>
    </w:p>
    <w:p>
      <w:pPr>
        <w:spacing w:before="0" w:after="0"/>
        <w:ind w:firstLine="709"/>
      </w:pPr>
      <w:r>
        <w:rPr>
          <w:rFonts w:ascii="Arial" w:hAnsi="Arial"/>
          <w:b w:val="0"/>
          <w:i w:val="0"/>
          <w:sz w:val="24"/>
        </w:rPr>
        <w:t>1. Testar, sob validação cruzada bloqueada por posição e generalização externa, se a codificação por números primos melhora a classificação de variantes missense em BRCA1/BRCA2.</w:t>
      </w:r>
    </w:p>
    <w:p>
      <w:pPr>
        <w:spacing w:before="0" w:after="0"/>
        <w:ind w:firstLine="709"/>
      </w:pPr>
      <w:r>
        <w:rPr>
          <w:rFonts w:ascii="Arial" w:hAnsi="Arial"/>
          <w:b w:val="0"/>
          <w:i w:val="0"/>
          <w:sz w:val="24"/>
        </w:rPr>
        <w:t>2. Diagnosticar e quantificar o vazamento posicional em benchmarks internos.</w:t>
      </w:r>
    </w:p>
    <w:p>
      <w:pPr>
        <w:spacing w:before="0" w:after="0"/>
        <w:ind w:firstLine="709"/>
      </w:pPr>
      <w:r>
        <w:rPr>
          <w:rFonts w:ascii="Arial" w:hAnsi="Arial"/>
          <w:b w:val="0"/>
          <w:i w:val="0"/>
          <w:sz w:val="24"/>
        </w:rPr>
        <w:t>3. Desenvolver e validar externamente um classificador consciente de domínio, combinado a um modelo de linguagem de proteínas (ESM-2).</w:t>
      </w:r>
    </w:p>
    <w:p>
      <w:pPr>
        <w:spacing w:before="0" w:after="0"/>
        <w:ind w:firstLine="709"/>
      </w:pPr>
      <w:r>
        <w:rPr>
          <w:rFonts w:ascii="Arial" w:hAnsi="Arial"/>
          <w:b w:val="0"/>
          <w:i w:val="0"/>
          <w:sz w:val="24"/>
        </w:rPr>
        <w:t>4. Comparar esse modelo, de forma honesta, com AlphaMissense/REVEL/CADD, corrigindo a assimetria de circularidade que os favorece.</w:t>
      </w:r>
    </w:p>
    <w:p>
      <w:pPr>
        <w:spacing w:before="0" w:after="0"/>
        <w:ind w:firstLine="709"/>
      </w:pPr>
      <w:r>
        <w:rPr>
          <w:rFonts w:ascii="Arial" w:hAnsi="Arial"/>
          <w:b w:val="0"/>
          <w:i w:val="0"/>
          <w:sz w:val="24"/>
        </w:rPr>
        <w:t>5. Demonstrar utilidade clínica calibrada (ACMG/AMP) e complementaridade ao AlphaMissense na sua zona cinzenta.</w:t>
      </w:r>
    </w:p>
    <w:p>
      <w:pPr>
        <w:spacing w:before="0" w:after="0"/>
        <w:ind w:firstLine="709"/>
      </w:pPr>
      <w:r>
        <w:rPr>
          <w:rFonts w:ascii="Arial" w:hAnsi="Arial"/>
          <w:b w:val="0"/>
          <w:i w:val="0"/>
          <w:sz w:val="24"/>
        </w:rPr>
        <w:t>6. Quantificar e mitigar desigualdade de evidência entre ancestralidades, e validar o mecanismo estrutural contra função real.</w:t>
      </w:r>
    </w:p>
    <w:p>
      <w:pPr>
        <w:spacing w:before="0" w:after="200"/>
        <w:ind w:firstLine="709"/>
      </w:pPr>
      <w:r>
        <w:rPr>
          <w:rFonts w:ascii="Arial" w:hAnsi="Arial"/>
          <w:b w:val="0"/>
          <w:i w:val="0"/>
          <w:sz w:val="24"/>
        </w:rPr>
        <w:t>7. Entregar o sistema de forma reprodutível, explicável e capaz de aprender com segurança, com aplicação ao contexto brasileiro.</w:t>
      </w:r>
    </w:p>
    <w:p>
      <w:r>
        <w:br w:type="page"/>
      </w:r>
    </w:p>
    <w:p>
      <w:pPr>
        <w:pStyle w:val="Heading1"/>
      </w:pPr>
      <w:r>
        <w:t>DESENVOLVIMENTO</w:t>
      </w:r>
    </w:p>
    <w:p>
      <w:pPr>
        <w:pStyle w:val="Heading2"/>
      </w:pPr>
      <w:r>
        <w:t>Materiais e Métodos</w:t>
      </w:r>
    </w:p>
    <w:p>
      <w:pPr>
        <w:pStyle w:val="Heading3"/>
      </w:pPr>
      <w:r>
        <w:t>Fontes de dados</w:t>
      </w:r>
    </w:p>
    <w:p>
      <w:pPr>
        <w:spacing w:before="0" w:after="0"/>
        <w:ind w:firstLine="709"/>
      </w:pPr>
      <w:r>
        <w:rPr>
          <w:rFonts w:ascii="Arial" w:hAnsi="Arial"/>
          <w:b w:val="0"/>
          <w:i w:val="0"/>
          <w:sz w:val="24"/>
        </w:rPr>
        <w:t>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p>
    <w:p>
      <w:pPr>
        <w:pStyle w:val="Heading3"/>
      </w:pPr>
      <w:r>
        <w:t>Representação, teste dos primos e domínio funcional</w:t>
      </w:r>
    </w:p>
    <w:p>
      <w:pPr>
        <w:spacing w:before="0" w:after="0"/>
        <w:ind w:firstLine="709"/>
      </w:pPr>
      <w:r>
        <w:rPr>
          <w:rFonts w:ascii="Arial" w:hAnsi="Arial"/>
          <w:b w:val="0"/>
          <w:i w:val="0"/>
          <w:sz w:val="24"/>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p>
    <w:p>
      <w:pPr>
        <w:pStyle w:val="Heading3"/>
      </w:pPr>
      <w:r>
        <w:t>Protocolo anti-vazamento e modelo</w:t>
      </w:r>
    </w:p>
    <w:p>
      <w:pPr>
        <w:spacing w:before="0" w:after="0"/>
        <w:ind w:firstLine="709"/>
      </w:pPr>
      <w:r>
        <w:rPr>
          <w:rFonts w:ascii="Arial" w:hAnsi="Arial"/>
          <w:b w:val="0"/>
          <w:i w:val="0"/>
          <w:sz w:val="24"/>
        </w:rPr>
        <w:t>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p>
    <w:p>
      <w:pPr>
        <w:pStyle w:val="Heading3"/>
      </w:pPr>
      <w:r>
        <w:t>Robustez, meta-análise, ESM-2 e SHAP</w:t>
      </w:r>
    </w:p>
    <w:p>
      <w:pPr>
        <w:spacing w:before="0" w:after="0"/>
        <w:ind w:firstLine="709"/>
      </w:pPr>
      <w:r>
        <w:rPr>
          <w:rFonts w:ascii="Arial" w:hAnsi="Arial"/>
          <w:b w:val="0"/>
          <w:i w:val="0"/>
          <w:sz w:val="24"/>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p>
    <w:p>
      <w:pPr>
        <w:pStyle w:val="Heading3"/>
      </w:pPr>
      <w:r>
        <w:t>Comparação honesta, meta-classificador e calibração ACMG/AMP</w:t>
      </w:r>
    </w:p>
    <w:p>
      <w:pPr>
        <w:spacing w:before="0" w:after="0"/>
        <w:ind w:firstLine="709"/>
      </w:pPr>
      <w:r>
        <w:rPr>
          <w:rFonts w:ascii="Arial" w:hAnsi="Arial"/>
          <w:b w:val="0"/>
          <w:i w:val="0"/>
          <w:sz w:val="24"/>
        </w:rPr>
        <w:t>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p>
    <w:p>
      <w:pPr>
        <w:pStyle w:val="Heading3"/>
      </w:pPr>
      <w:r>
        <w:t>Zona cinzenta, equidade, mecanismo e aprendizado contínuo</w:t>
      </w:r>
    </w:p>
    <w:p>
      <w:pPr>
        <w:spacing w:before="0" w:after="0"/>
        <w:ind w:firstLine="709"/>
      </w:pPr>
      <w:r>
        <w:rPr>
          <w:rFonts w:ascii="Arial" w:hAnsi="Arial"/>
          <w:b w:val="0"/>
          <w:i w:val="0"/>
          <w:sz w:val="24"/>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p>
    <w:p>
      <w:r>
        <w:br w:type="page"/>
      </w:r>
    </w:p>
    <w:p>
      <w:pPr>
        <w:pStyle w:val="Heading2"/>
      </w:pPr>
      <w:r>
        <w:t>Resultados e Discussão</w:t>
      </w:r>
    </w:p>
    <w:p>
      <w:pPr>
        <w:pStyle w:val="Heading3"/>
      </w:pPr>
      <w:r>
        <w:t>A hipótese dos números primos foi refutada</w:t>
      </w:r>
    </w:p>
    <w:p>
      <w:pPr>
        <w:spacing w:before="0" w:after="0"/>
        <w:ind w:firstLine="709"/>
      </w:pPr>
      <w:r>
        <w:rPr>
          <w:rFonts w:ascii="Arial" w:hAnsi="Arial"/>
          <w:b w:val="0"/>
          <w:i w:val="0"/>
          <w:sz w:val="24"/>
        </w:rPr>
        <w:t>A hipótese foi testada sob o protocolo anti-vazamento (Tabela 1). Os primos tiveram desempenho inferior à identidade trivial e pioraram um modelo bioquímico ao serem adicionados (Tabela 2).</w:t>
      </w:r>
    </w:p>
    <w:p>
      <w:pPr>
        <w:spacing w:before="200"/>
        <w:ind w:firstLine="0"/>
      </w:pPr>
      <w:r>
        <w:rPr>
          <w:rFonts w:ascii="Arial" w:hAnsi="Arial"/>
          <w:b/>
          <w:sz w:val="22"/>
        </w:rPr>
        <w:t>Tabela 1. Refutação da hipótese dos primos (n = 869 treino / n = 836 externo).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3685"/>
            <w:tcBorders>
              <w:top w:val="single" w:sz="10" w:color="000000"/>
              <w:bottom w:val="single" w:sz="10" w:color="000000"/>
            </w:tcBorders>
          </w:tcPr>
          <w:p>
            <w:pPr>
              <w:ind w:firstLine="0"/>
              <w:jc w:val="center"/>
            </w:pPr>
            <w:r>
              <w:rPr>
                <w:rFonts w:ascii="Arial" w:hAnsi="Arial"/>
                <w:b/>
                <w:sz w:val="21"/>
              </w:rPr>
              <w:t>Conjunto de características</w:t>
            </w:r>
          </w:p>
        </w:tc>
        <w:tc>
          <w:tcPr>
            <w:tcW w:type="dxa" w:w="1417"/>
            <w:tcBorders>
              <w:top w:val="single" w:sz="10" w:color="000000"/>
              <w:bottom w:val="single" w:sz="10" w:color="000000"/>
            </w:tcBorders>
          </w:tcPr>
          <w:p>
            <w:pPr>
              <w:ind w:firstLine="0"/>
              <w:jc w:val="center"/>
            </w:pPr>
            <w:r>
              <w:rPr>
                <w:rFonts w:ascii="Arial" w:hAnsi="Arial"/>
                <w:b/>
                <w:sz w:val="21"/>
              </w:rPr>
              <w:t>nº feat.</w:t>
            </w:r>
          </w:p>
        </w:tc>
        <w:tc>
          <w:tcPr>
            <w:tcW w:type="dxa" w:w="1701"/>
            <w:tcBorders>
              <w:top w:val="single" w:sz="10" w:color="000000"/>
              <w:bottom w:val="single" w:sz="10" w:color="000000"/>
            </w:tcBorders>
          </w:tcPr>
          <w:p>
            <w:pPr>
              <w:ind w:firstLine="0"/>
              <w:jc w:val="center"/>
            </w:pPr>
            <w:r>
              <w:rPr>
                <w:rFonts w:ascii="Arial" w:hAnsi="Arial"/>
                <w:b/>
                <w:sz w:val="21"/>
              </w:rPr>
              <w:t>CV bloqueada</w:t>
            </w:r>
          </w:p>
        </w:tc>
        <w:tc>
          <w:tcPr>
            <w:tcW w:type="dxa" w:w="170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685"/>
          </w:tcPr>
          <w:p>
            <w:pPr>
              <w:ind w:firstLine="0"/>
              <w:jc w:val="left"/>
            </w:pPr>
            <w:r>
              <w:rPr>
                <w:rFonts w:ascii="Arial" w:hAnsi="Arial"/>
                <w:sz w:val="21"/>
              </w:rPr>
              <w:t>Identidade (com posição)ᵃ</w:t>
            </w:r>
          </w:p>
        </w:tc>
        <w:tc>
          <w:tcPr>
            <w:tcW w:type="dxa" w:w="1417"/>
          </w:tcPr>
          <w:p>
            <w:pPr>
              <w:ind w:firstLine="0"/>
              <w:jc w:val="center"/>
            </w:pPr>
            <w:r>
              <w:rPr>
                <w:rFonts w:ascii="Arial" w:hAnsi="Arial"/>
                <w:sz w:val="21"/>
              </w:rPr>
              <w:t>4</w:t>
            </w:r>
          </w:p>
        </w:tc>
        <w:tc>
          <w:tcPr>
            <w:tcW w:type="dxa" w:w="1701"/>
          </w:tcPr>
          <w:p>
            <w:pPr>
              <w:ind w:firstLine="0"/>
              <w:jc w:val="center"/>
            </w:pPr>
            <w:r>
              <w:rPr>
                <w:rFonts w:ascii="Arial" w:hAnsi="Arial"/>
                <w:sz w:val="21"/>
              </w:rPr>
              <w:t>0,871</w:t>
            </w:r>
          </w:p>
        </w:tc>
        <w:tc>
          <w:tcPr>
            <w:tcW w:type="dxa" w:w="1701"/>
          </w:tcPr>
          <w:p>
            <w:pPr>
              <w:ind w:firstLine="0"/>
              <w:jc w:val="center"/>
            </w:pPr>
            <w:r>
              <w:rPr>
                <w:rFonts w:ascii="Arial" w:hAnsi="Arial"/>
                <w:sz w:val="21"/>
              </w:rPr>
              <w:t>0,882</w:t>
            </w:r>
          </w:p>
        </w:tc>
      </w:tr>
      <w:tr>
        <w:trPr>
          <w:cantSplit/>
        </w:trPr>
        <w:tc>
          <w:tcPr>
            <w:tcW w:type="dxa" w:w="3685"/>
          </w:tcPr>
          <w:p>
            <w:pPr>
              <w:ind w:firstLine="0"/>
              <w:jc w:val="left"/>
            </w:pPr>
            <w:r>
              <w:rPr>
                <w:rFonts w:ascii="Arial" w:hAnsi="Arial"/>
                <w:sz w:val="21"/>
              </w:rPr>
              <w:t>Bioquímico (com posição)ᵃ</w:t>
            </w:r>
          </w:p>
        </w:tc>
        <w:tc>
          <w:tcPr>
            <w:tcW w:type="dxa" w:w="1417"/>
          </w:tcPr>
          <w:p>
            <w:pPr>
              <w:ind w:firstLine="0"/>
              <w:jc w:val="center"/>
            </w:pPr>
            <w:r>
              <w:rPr>
                <w:rFonts w:ascii="Arial" w:hAnsi="Arial"/>
                <w:sz w:val="21"/>
              </w:rPr>
              <w:t>28</w:t>
            </w:r>
          </w:p>
        </w:tc>
        <w:tc>
          <w:tcPr>
            <w:tcW w:type="dxa" w:w="1701"/>
          </w:tcPr>
          <w:p>
            <w:pPr>
              <w:ind w:firstLine="0"/>
              <w:jc w:val="center"/>
            </w:pPr>
            <w:r>
              <w:rPr>
                <w:rFonts w:ascii="Arial" w:hAnsi="Arial"/>
                <w:sz w:val="21"/>
              </w:rPr>
              <w:t>0,802</w:t>
            </w:r>
          </w:p>
        </w:tc>
        <w:tc>
          <w:tcPr>
            <w:tcW w:type="dxa" w:w="1701"/>
          </w:tcPr>
          <w:p>
            <w:pPr>
              <w:ind w:firstLine="0"/>
              <w:jc w:val="center"/>
            </w:pPr>
            <w:r>
              <w:rPr>
                <w:rFonts w:ascii="Arial" w:hAnsi="Arial"/>
                <w:sz w:val="21"/>
              </w:rPr>
              <w:t>0,791</w:t>
            </w:r>
          </w:p>
        </w:tc>
      </w:tr>
      <w:tr>
        <w:trPr>
          <w:cantSplit/>
        </w:trPr>
        <w:tc>
          <w:tcPr>
            <w:tcW w:type="dxa" w:w="3685"/>
          </w:tcPr>
          <w:p>
            <w:pPr>
              <w:ind w:firstLine="0"/>
              <w:jc w:val="left"/>
            </w:pPr>
            <w:r>
              <w:rPr>
                <w:rFonts w:ascii="Arial" w:hAnsi="Arial"/>
                <w:sz w:val="21"/>
              </w:rPr>
              <w:t>Híbrido (bioquímico + primos)ᵃ</w:t>
            </w:r>
          </w:p>
        </w:tc>
        <w:tc>
          <w:tcPr>
            <w:tcW w:type="dxa" w:w="1417"/>
          </w:tcPr>
          <w:p>
            <w:pPr>
              <w:ind w:firstLine="0"/>
              <w:jc w:val="center"/>
            </w:pPr>
            <w:r>
              <w:rPr>
                <w:rFonts w:ascii="Arial" w:hAnsi="Arial"/>
                <w:sz w:val="21"/>
              </w:rPr>
              <w:t>76</w:t>
            </w:r>
          </w:p>
        </w:tc>
        <w:tc>
          <w:tcPr>
            <w:tcW w:type="dxa" w:w="1701"/>
          </w:tcPr>
          <w:p>
            <w:pPr>
              <w:ind w:firstLine="0"/>
              <w:jc w:val="center"/>
            </w:pPr>
            <w:r>
              <w:rPr>
                <w:rFonts w:ascii="Arial" w:hAnsi="Arial"/>
                <w:sz w:val="21"/>
              </w:rPr>
              <w:t>0,783</w:t>
            </w:r>
          </w:p>
        </w:tc>
        <w:tc>
          <w:tcPr>
            <w:tcW w:type="dxa" w:w="1701"/>
          </w:tcPr>
          <w:p>
            <w:pPr>
              <w:ind w:firstLine="0"/>
              <w:jc w:val="center"/>
            </w:pPr>
            <w:r>
              <w:rPr>
                <w:rFonts w:ascii="Arial" w:hAnsi="Arial"/>
                <w:sz w:val="21"/>
              </w:rPr>
              <w:t>0,765</w:t>
            </w:r>
          </w:p>
        </w:tc>
      </w:tr>
      <w:tr>
        <w:trPr>
          <w:cantSplit/>
        </w:trPr>
        <w:tc>
          <w:tcPr>
            <w:tcW w:type="dxa" w:w="3685"/>
          </w:tcPr>
          <w:p>
            <w:pPr>
              <w:ind w:firstLine="0"/>
              <w:jc w:val="left"/>
            </w:pPr>
            <w:r>
              <w:rPr>
                <w:rFonts w:ascii="Arial" w:hAnsi="Arial"/>
                <w:sz w:val="21"/>
              </w:rPr>
              <w:t>Identidade (sem posição)</w:t>
            </w:r>
          </w:p>
        </w:tc>
        <w:tc>
          <w:tcPr>
            <w:tcW w:type="dxa" w:w="1417"/>
          </w:tcPr>
          <w:p>
            <w:pPr>
              <w:ind w:firstLine="0"/>
              <w:jc w:val="center"/>
            </w:pPr>
            <w:r>
              <w:rPr>
                <w:rFonts w:ascii="Arial" w:hAnsi="Arial"/>
                <w:sz w:val="21"/>
              </w:rPr>
              <w:t>3</w:t>
            </w:r>
          </w:p>
        </w:tc>
        <w:tc>
          <w:tcPr>
            <w:tcW w:type="dxa" w:w="1701"/>
          </w:tcPr>
          <w:p>
            <w:pPr>
              <w:ind w:firstLine="0"/>
              <w:jc w:val="center"/>
            </w:pPr>
            <w:r>
              <w:rPr>
                <w:rFonts w:ascii="Arial" w:hAnsi="Arial"/>
                <w:sz w:val="21"/>
              </w:rPr>
              <w:t>0,745</w:t>
            </w:r>
          </w:p>
        </w:tc>
        <w:tc>
          <w:tcPr>
            <w:tcW w:type="dxa" w:w="1701"/>
          </w:tcPr>
          <w:p>
            <w:pPr>
              <w:ind w:firstLine="0"/>
              <w:jc w:val="center"/>
            </w:pPr>
            <w:r>
              <w:rPr>
                <w:rFonts w:ascii="Arial" w:hAnsi="Arial"/>
                <w:sz w:val="21"/>
              </w:rPr>
              <w:t>0,718</w:t>
            </w:r>
          </w:p>
        </w:tc>
      </w:tr>
      <w:tr>
        <w:trPr>
          <w:cantSplit/>
        </w:trPr>
        <w:tc>
          <w:tcPr>
            <w:tcW w:type="dxa" w:w="3685"/>
            <w:tcBorders>
              <w:bottom w:val="single" w:sz="10" w:color="000000"/>
            </w:tcBorders>
          </w:tcPr>
          <w:p>
            <w:pPr>
              <w:ind w:firstLine="0"/>
              <w:jc w:val="left"/>
            </w:pPr>
            <w:r>
              <w:rPr>
                <w:rFonts w:ascii="Arial" w:hAnsi="Arial"/>
                <w:sz w:val="21"/>
              </w:rPr>
              <w:t>Apenas primos</w:t>
            </w:r>
          </w:p>
        </w:tc>
        <w:tc>
          <w:tcPr>
            <w:tcW w:type="dxa" w:w="1417"/>
            <w:tcBorders>
              <w:bottom w:val="single" w:sz="10" w:color="000000"/>
            </w:tcBorders>
          </w:tcPr>
          <w:p>
            <w:pPr>
              <w:ind w:firstLine="0"/>
              <w:jc w:val="center"/>
            </w:pPr>
            <w:r>
              <w:rPr>
                <w:rFonts w:ascii="Arial" w:hAnsi="Arial"/>
                <w:sz w:val="21"/>
              </w:rPr>
              <w:t>50</w:t>
            </w:r>
          </w:p>
        </w:tc>
        <w:tc>
          <w:tcPr>
            <w:tcW w:type="dxa" w:w="1701"/>
            <w:tcBorders>
              <w:bottom w:val="single" w:sz="10" w:color="000000"/>
            </w:tcBorders>
          </w:tcPr>
          <w:p>
            <w:pPr>
              <w:ind w:firstLine="0"/>
              <w:jc w:val="center"/>
            </w:pPr>
            <w:r>
              <w:rPr>
                <w:rFonts w:ascii="Arial" w:hAnsi="Arial"/>
                <w:sz w:val="21"/>
              </w:rPr>
              <w:t>0,717</w:t>
            </w:r>
          </w:p>
        </w:tc>
        <w:tc>
          <w:tcPr>
            <w:tcW w:type="dxa" w:w="1701"/>
            <w:tcBorders>
              <w:bottom w:val="single" w:sz="10" w:color="000000"/>
            </w:tcBorders>
          </w:tcPr>
          <w:p>
            <w:pPr>
              <w:ind w:firstLine="0"/>
              <w:jc w:val="center"/>
            </w:pPr>
            <w:r>
              <w:rPr>
                <w:rFonts w:ascii="Arial" w:hAnsi="Arial"/>
                <w:sz w:val="21"/>
              </w:rPr>
              <w:t>0,681</w:t>
            </w:r>
          </w:p>
        </w:tc>
      </w:tr>
    </w:tbl>
    <w:p>
      <w:pPr>
        <w:spacing w:after="240"/>
        <w:ind w:firstLine="0"/>
      </w:pPr>
      <w:r>
        <w:rPr>
          <w:rFonts w:ascii="Arial" w:hAnsi="Arial"/>
          <w:i/>
          <w:sz w:val="19"/>
        </w:rPr>
        <w:t>ᵃ Incluem gene e posição bruta — risco de memorização diagnosticado a seguir.</w:t>
      </w:r>
    </w:p>
    <w:p>
      <w:pPr>
        <w:spacing w:before="200"/>
        <w:ind w:firstLine="0"/>
      </w:pPr>
      <w:r>
        <w:rPr>
          <w:rFonts w:ascii="Arial" w:hAnsi="Arial"/>
          <w:b/>
          <w:sz w:val="22"/>
        </w:rPr>
        <w:t>Tabela 2. Comparações pareadas por DeLong.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608"/>
            <w:tcBorders>
              <w:top w:val="single" w:sz="10" w:color="000000"/>
              <w:bottom w:val="single" w:sz="10" w:color="000000"/>
            </w:tcBorders>
          </w:tcPr>
          <w:p>
            <w:pPr>
              <w:ind w:firstLine="0"/>
              <w:jc w:val="center"/>
            </w:pPr>
            <w:r>
              <w:rPr>
                <w:rFonts w:ascii="Arial" w:hAnsi="Arial"/>
                <w:b/>
                <w:sz w:val="21"/>
              </w:rPr>
              <w:t>Comparação</w:t>
            </w:r>
          </w:p>
        </w:tc>
        <w:tc>
          <w:tcPr>
            <w:tcW w:type="dxa" w:w="1417"/>
            <w:tcBorders>
              <w:top w:val="single" w:sz="10" w:color="000000"/>
              <w:bottom w:val="single" w:sz="10" w:color="000000"/>
            </w:tcBorders>
          </w:tcPr>
          <w:p>
            <w:pPr>
              <w:ind w:firstLine="0"/>
              <w:jc w:val="center"/>
            </w:pPr>
            <w:r>
              <w:rPr>
                <w:rFonts w:ascii="Arial" w:hAnsi="Arial"/>
                <w:b/>
                <w:sz w:val="21"/>
              </w:rPr>
              <w:t>Protocolo</w:t>
            </w:r>
          </w:p>
        </w:tc>
        <w:tc>
          <w:tcPr>
            <w:tcW w:type="dxa" w:w="1077"/>
            <w:tcBorders>
              <w:top w:val="single" w:sz="10" w:color="000000"/>
              <w:bottom w:val="single" w:sz="10" w:color="000000"/>
            </w:tcBorders>
          </w:tcPr>
          <w:p>
            <w:pPr>
              <w:ind w:firstLine="0"/>
              <w:jc w:val="center"/>
            </w:pPr>
            <w:r>
              <w:rPr>
                <w:rFonts w:ascii="Arial" w:hAnsi="Arial"/>
                <w:b/>
                <w:sz w:val="21"/>
              </w:rPr>
              <w:t>AUC A</w:t>
            </w:r>
          </w:p>
        </w:tc>
        <w:tc>
          <w:tcPr>
            <w:tcW w:type="dxa" w:w="1077"/>
            <w:tcBorders>
              <w:top w:val="single" w:sz="10" w:color="000000"/>
              <w:bottom w:val="single" w:sz="10" w:color="000000"/>
            </w:tcBorders>
          </w:tcPr>
          <w:p>
            <w:pPr>
              <w:ind w:firstLine="0"/>
              <w:jc w:val="center"/>
            </w:pPr>
            <w:r>
              <w:rPr>
                <w:rFonts w:ascii="Arial" w:hAnsi="Arial"/>
                <w:b/>
                <w:sz w:val="21"/>
              </w:rPr>
              <w:t>AUC B</w:t>
            </w:r>
          </w:p>
        </w:tc>
        <w:tc>
          <w:tcPr>
            <w:tcW w:type="dxa" w:w="1020"/>
            <w:tcBorders>
              <w:top w:val="single" w:sz="10" w:color="000000"/>
              <w:bottom w:val="single" w:sz="10" w:color="000000"/>
            </w:tcBorders>
          </w:tcPr>
          <w:p>
            <w:pPr>
              <w:ind w:firstLine="0"/>
              <w:jc w:val="center"/>
            </w:pPr>
            <w:r>
              <w:rPr>
                <w:rFonts w:ascii="Arial" w:hAnsi="Arial"/>
                <w:b/>
                <w:sz w:val="21"/>
              </w:rPr>
              <w:t>Δ</w:t>
            </w:r>
          </w:p>
        </w:tc>
        <w:tc>
          <w:tcPr>
            <w:tcW w:type="dxa" w:w="1304"/>
            <w:tcBorders>
              <w:top w:val="single" w:sz="10" w:color="000000"/>
              <w:bottom w:val="single" w:sz="10" w:color="000000"/>
            </w:tcBorders>
          </w:tcPr>
          <w:p>
            <w:pPr>
              <w:ind w:firstLine="0"/>
              <w:jc w:val="center"/>
            </w:pPr>
            <w:r>
              <w:rPr>
                <w:rFonts w:ascii="Arial" w:hAnsi="Arial"/>
                <w:b/>
                <w:sz w:val="21"/>
              </w:rPr>
              <w:t>p</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0,717</w:t>
            </w:r>
          </w:p>
        </w:tc>
        <w:tc>
          <w:tcPr>
            <w:tcW w:type="dxa" w:w="1077"/>
          </w:tcPr>
          <w:p>
            <w:pPr>
              <w:ind w:firstLine="0"/>
              <w:jc w:val="center"/>
            </w:pPr>
            <w:r>
              <w:rPr>
                <w:rFonts w:ascii="Arial" w:hAnsi="Arial"/>
                <w:sz w:val="21"/>
              </w:rPr>
              <w:t>0,745</w:t>
            </w:r>
          </w:p>
        </w:tc>
        <w:tc>
          <w:tcPr>
            <w:tcW w:type="dxa" w:w="1020"/>
          </w:tcPr>
          <w:p>
            <w:pPr>
              <w:ind w:firstLine="0"/>
              <w:jc w:val="center"/>
            </w:pPr>
            <w:r>
              <w:rPr>
                <w:rFonts w:ascii="Arial" w:hAnsi="Arial"/>
                <w:sz w:val="21"/>
              </w:rPr>
              <w:t>−0,028</w:t>
            </w:r>
          </w:p>
        </w:tc>
        <w:tc>
          <w:tcPr>
            <w:tcW w:type="dxa" w:w="1304"/>
          </w:tcPr>
          <w:p>
            <w:pPr>
              <w:ind w:firstLine="0"/>
              <w:jc w:val="center"/>
            </w:pPr>
            <w:r>
              <w:rPr>
                <w:rFonts w:ascii="Arial" w:hAnsi="Arial"/>
                <w:sz w:val="21"/>
              </w:rPr>
              <w:t>0,081</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Externa</w:t>
            </w:r>
          </w:p>
        </w:tc>
        <w:tc>
          <w:tcPr>
            <w:tcW w:type="dxa" w:w="1077"/>
          </w:tcPr>
          <w:p>
            <w:pPr>
              <w:ind w:firstLine="0"/>
              <w:jc w:val="center"/>
            </w:pPr>
            <w:r>
              <w:rPr>
                <w:rFonts w:ascii="Arial" w:hAnsi="Arial"/>
                <w:sz w:val="21"/>
              </w:rPr>
              <w:t>0,681</w:t>
            </w:r>
          </w:p>
        </w:tc>
        <w:tc>
          <w:tcPr>
            <w:tcW w:type="dxa" w:w="1077"/>
          </w:tcPr>
          <w:p>
            <w:pPr>
              <w:ind w:firstLine="0"/>
              <w:jc w:val="center"/>
            </w:pPr>
            <w:r>
              <w:rPr>
                <w:rFonts w:ascii="Arial" w:hAnsi="Arial"/>
                <w:sz w:val="21"/>
              </w:rPr>
              <w:t>0,718</w:t>
            </w:r>
          </w:p>
        </w:tc>
        <w:tc>
          <w:tcPr>
            <w:tcW w:type="dxa" w:w="1020"/>
          </w:tcPr>
          <w:p>
            <w:pPr>
              <w:ind w:firstLine="0"/>
              <w:jc w:val="center"/>
            </w:pPr>
            <w:r>
              <w:rPr>
                <w:rFonts w:ascii="Arial" w:hAnsi="Arial"/>
                <w:sz w:val="21"/>
              </w:rPr>
              <w:t>−0,038</w:t>
            </w:r>
          </w:p>
        </w:tc>
        <w:tc>
          <w:tcPr>
            <w:tcW w:type="dxa" w:w="1304"/>
          </w:tcPr>
          <w:p>
            <w:pPr>
              <w:ind w:firstLine="0"/>
              <w:jc w:val="center"/>
            </w:pPr>
            <w:r>
              <w:rPr>
                <w:rFonts w:ascii="Arial" w:hAnsi="Arial"/>
                <w:sz w:val="21"/>
              </w:rPr>
              <w:t>0,045</w:t>
            </w:r>
          </w:p>
        </w:tc>
      </w:tr>
      <w:tr>
        <w:trPr>
          <w:cantSplit/>
        </w:trPr>
        <w:tc>
          <w:tcPr>
            <w:tcW w:type="dxa" w:w="2608"/>
          </w:tcPr>
          <w:p>
            <w:pPr>
              <w:ind w:firstLine="0"/>
              <w:jc w:val="left"/>
            </w:pPr>
            <w:r>
              <w:rPr>
                <w:rFonts w:ascii="Arial" w:hAnsi="Arial"/>
                <w:sz w:val="21"/>
              </w:rPr>
              <w:t>Híbrido vs. bioquímico</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0,783</w:t>
            </w:r>
          </w:p>
        </w:tc>
        <w:tc>
          <w:tcPr>
            <w:tcW w:type="dxa" w:w="1077"/>
          </w:tcPr>
          <w:p>
            <w:pPr>
              <w:ind w:firstLine="0"/>
              <w:jc w:val="center"/>
            </w:pPr>
            <w:r>
              <w:rPr>
                <w:rFonts w:ascii="Arial" w:hAnsi="Arial"/>
                <w:sz w:val="21"/>
              </w:rPr>
              <w:t>0,802</w:t>
            </w:r>
          </w:p>
        </w:tc>
        <w:tc>
          <w:tcPr>
            <w:tcW w:type="dxa" w:w="1020"/>
          </w:tcPr>
          <w:p>
            <w:pPr>
              <w:ind w:firstLine="0"/>
              <w:jc w:val="center"/>
            </w:pPr>
            <w:r>
              <w:rPr>
                <w:rFonts w:ascii="Arial" w:hAnsi="Arial"/>
                <w:sz w:val="21"/>
              </w:rPr>
              <w:t>−0,019</w:t>
            </w:r>
          </w:p>
        </w:tc>
        <w:tc>
          <w:tcPr>
            <w:tcW w:type="dxa" w:w="1304"/>
          </w:tcPr>
          <w:p>
            <w:pPr>
              <w:ind w:firstLine="0"/>
              <w:jc w:val="center"/>
            </w:pPr>
            <w:r>
              <w:rPr>
                <w:rFonts w:ascii="Arial" w:hAnsi="Arial"/>
                <w:sz w:val="21"/>
              </w:rPr>
              <w:t>&lt;0,0001</w:t>
            </w:r>
          </w:p>
        </w:tc>
      </w:tr>
      <w:tr>
        <w:trPr>
          <w:cantSplit/>
        </w:trPr>
        <w:tc>
          <w:tcPr>
            <w:tcW w:type="dxa" w:w="2608"/>
            <w:tcBorders>
              <w:bottom w:val="single" w:sz="10" w:color="000000"/>
            </w:tcBorders>
          </w:tcPr>
          <w:p>
            <w:pPr>
              <w:ind w:firstLine="0"/>
              <w:jc w:val="left"/>
            </w:pPr>
            <w:r>
              <w:rPr>
                <w:rFonts w:ascii="Arial" w:hAnsi="Arial"/>
                <w:sz w:val="21"/>
              </w:rPr>
              <w:t>Híbrido vs. bioquímico</w:t>
            </w:r>
          </w:p>
        </w:tc>
        <w:tc>
          <w:tcPr>
            <w:tcW w:type="dxa" w:w="1417"/>
            <w:tcBorders>
              <w:bottom w:val="single" w:sz="10" w:color="000000"/>
            </w:tcBorders>
          </w:tcPr>
          <w:p>
            <w:pPr>
              <w:ind w:firstLine="0"/>
              <w:jc w:val="center"/>
            </w:pPr>
            <w:r>
              <w:rPr>
                <w:rFonts w:ascii="Arial" w:hAnsi="Arial"/>
                <w:sz w:val="21"/>
              </w:rPr>
              <w:t>Externa</w:t>
            </w:r>
          </w:p>
        </w:tc>
        <w:tc>
          <w:tcPr>
            <w:tcW w:type="dxa" w:w="1077"/>
            <w:tcBorders>
              <w:bottom w:val="single" w:sz="10" w:color="000000"/>
            </w:tcBorders>
          </w:tcPr>
          <w:p>
            <w:pPr>
              <w:ind w:firstLine="0"/>
              <w:jc w:val="center"/>
            </w:pPr>
            <w:r>
              <w:rPr>
                <w:rFonts w:ascii="Arial" w:hAnsi="Arial"/>
                <w:sz w:val="21"/>
              </w:rPr>
              <w:t>0,765</w:t>
            </w:r>
          </w:p>
        </w:tc>
        <w:tc>
          <w:tcPr>
            <w:tcW w:type="dxa" w:w="1077"/>
            <w:tcBorders>
              <w:bottom w:val="single" w:sz="10" w:color="000000"/>
            </w:tcBorders>
          </w:tcPr>
          <w:p>
            <w:pPr>
              <w:ind w:firstLine="0"/>
              <w:jc w:val="center"/>
            </w:pPr>
            <w:r>
              <w:rPr>
                <w:rFonts w:ascii="Arial" w:hAnsi="Arial"/>
                <w:sz w:val="21"/>
              </w:rPr>
              <w:t>0,791</w:t>
            </w:r>
          </w:p>
        </w:tc>
        <w:tc>
          <w:tcPr>
            <w:tcW w:type="dxa" w:w="1020"/>
            <w:tcBorders>
              <w:bottom w:val="single" w:sz="10" w:color="000000"/>
            </w:tcBorders>
          </w:tcPr>
          <w:p>
            <w:pPr>
              <w:ind w:firstLine="0"/>
              <w:jc w:val="center"/>
            </w:pPr>
            <w:r>
              <w:rPr>
                <w:rFonts w:ascii="Arial" w:hAnsi="Arial"/>
                <w:sz w:val="21"/>
              </w:rPr>
              <w:t>−0,027</w:t>
            </w:r>
          </w:p>
        </w:tc>
        <w:tc>
          <w:tcPr>
            <w:tcW w:type="dxa" w:w="1304"/>
            <w:tcBorders>
              <w:bottom w:val="single" w:sz="10" w:color="000000"/>
            </w:tcBorders>
          </w:tcPr>
          <w:p>
            <w:pPr>
              <w:ind w:firstLine="0"/>
              <w:jc w:val="center"/>
            </w:pPr>
            <w:r>
              <w:rPr>
                <w:rFonts w:ascii="Arial" w:hAnsi="Arial"/>
                <w:sz w:val="21"/>
              </w:rPr>
              <w:t>&lt;0,0001</w:t>
            </w:r>
          </w:p>
        </w:tc>
      </w:tr>
    </w:tbl>
    <w:p>
      <w:pPr>
        <w:spacing w:before="0" w:after="0"/>
        <w:ind w:firstLine="709"/>
      </w:pPr>
      <w:r>
        <w:rPr>
          <w:rFonts w:ascii="Arial" w:hAnsi="Arial"/>
          <w:b w:val="0"/>
          <w:i w:val="0"/>
          <w:sz w:val="24"/>
        </w:rPr>
        <w:t>A diferença é uma tendência não significativa na CV interna (p = 0,081), mas significativa na generalização externa (p = 0,045) — e adicionar primos a um modelo bioquímico piora o desempenho externo (p &lt; 0,0001). A conclusão é honesta: os primos não agregam sinal útil.</w:t>
      </w:r>
    </w:p>
    <w:p>
      <w:pPr>
        <w:pStyle w:val="Heading3"/>
      </w:pPr>
      <w:r>
        <w:t>Diagnóstico: a armadilha do vazamento posicional</w:t>
      </w:r>
    </w:p>
    <w:p>
      <w:pPr>
        <w:spacing w:before="0" w:after="0"/>
        <w:ind w:firstLine="709"/>
      </w:pPr>
      <w:r>
        <w:rPr>
          <w:rFonts w:ascii="Arial" w:hAnsi="Arial"/>
          <w:b w:val="0"/>
          <w:i w:val="0"/>
          <w:sz w:val="24"/>
        </w:rPr>
        <w:t>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p>
    <w:p>
      <w:pPr>
        <w:pStyle w:val="Heading3"/>
      </w:pPr>
      <w:r>
        <w:t>A solução: modelo consciente de domínio</w:t>
      </w:r>
    </w:p>
    <w:p>
      <w:pPr>
        <w:spacing w:before="0" w:after="0"/>
        <w:ind w:firstLine="709"/>
      </w:pPr>
      <w:r>
        <w:rPr>
          <w:rFonts w:ascii="Arial" w:hAnsi="Arial"/>
          <w:b w:val="0"/>
          <w:i w:val="0"/>
          <w:sz w:val="24"/>
        </w:rPr>
        <w:t>Com a substituição da posição bruta por região funcional, obteve-se um modelo que generaliza melhor externamente (Tabela 3; Figura 2).</w:t>
      </w:r>
    </w:p>
    <w:p>
      <w:pPr>
        <w:spacing w:before="200"/>
        <w:ind w:firstLine="0"/>
      </w:pPr>
      <w:r>
        <w:rPr>
          <w:rFonts w:ascii="Arial" w:hAnsi="Arial"/>
          <w:b/>
          <w:sz w:val="22"/>
        </w:rPr>
        <w:t>Tabela 3. Consciência de domínio: validação bloqueada e externa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4535"/>
            <w:tcBorders>
              <w:top w:val="single" w:sz="10" w:color="000000"/>
              <w:bottom w:val="single" w:sz="10" w:color="000000"/>
            </w:tcBorders>
          </w:tcPr>
          <w:p>
            <w:pPr>
              <w:ind w:firstLine="0"/>
              <w:jc w:val="center"/>
            </w:pPr>
            <w:r>
              <w:rPr>
                <w:rFonts w:ascii="Arial" w:hAnsi="Arial"/>
                <w:b/>
                <w:sz w:val="21"/>
              </w:rPr>
              <w:t>Modelo</w:t>
            </w:r>
          </w:p>
        </w:tc>
        <w:tc>
          <w:tcPr>
            <w:tcW w:type="dxa" w:w="2098"/>
            <w:tcBorders>
              <w:top w:val="single" w:sz="10" w:color="000000"/>
              <w:bottom w:val="single" w:sz="10" w:color="000000"/>
            </w:tcBorders>
          </w:tcPr>
          <w:p>
            <w:pPr>
              <w:ind w:firstLine="0"/>
              <w:jc w:val="center"/>
            </w:pPr>
            <w:r>
              <w:rPr>
                <w:rFonts w:ascii="Arial" w:hAnsi="Arial"/>
                <w:b/>
                <w:sz w:val="21"/>
              </w:rPr>
              <w:t>CV bloqueada</w:t>
            </w:r>
          </w:p>
        </w:tc>
        <w:tc>
          <w:tcPr>
            <w:tcW w:type="dxa" w:w="187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4535"/>
          </w:tcPr>
          <w:p>
            <w:pPr>
              <w:ind w:firstLine="0"/>
              <w:jc w:val="left"/>
            </w:pPr>
            <w:r>
              <w:rPr>
                <w:rFonts w:ascii="Arial" w:hAnsi="Arial"/>
                <w:sz w:val="21"/>
              </w:rPr>
              <w:t>Bioquímico (sem posição)</w:t>
            </w:r>
          </w:p>
        </w:tc>
        <w:tc>
          <w:tcPr>
            <w:tcW w:type="dxa" w:w="2098"/>
          </w:tcPr>
          <w:p>
            <w:pPr>
              <w:ind w:firstLine="0"/>
              <w:jc w:val="center"/>
            </w:pPr>
            <w:r>
              <w:rPr>
                <w:rFonts w:ascii="Arial" w:hAnsi="Arial"/>
                <w:sz w:val="21"/>
              </w:rPr>
              <w:t>0,743</w:t>
            </w:r>
          </w:p>
        </w:tc>
        <w:tc>
          <w:tcPr>
            <w:tcW w:type="dxa" w:w="1871"/>
          </w:tcPr>
          <w:p>
            <w:pPr>
              <w:ind w:firstLine="0"/>
              <w:jc w:val="center"/>
            </w:pPr>
            <w:r>
              <w:rPr>
                <w:rFonts w:ascii="Arial" w:hAnsi="Arial"/>
                <w:sz w:val="21"/>
              </w:rPr>
              <w:t>0,717</w:t>
            </w:r>
          </w:p>
        </w:tc>
      </w:tr>
      <w:tr>
        <w:trPr>
          <w:cantSplit/>
        </w:trPr>
        <w:tc>
          <w:tcPr>
            <w:tcW w:type="dxa" w:w="4535"/>
          </w:tcPr>
          <w:p>
            <w:pPr>
              <w:ind w:firstLine="0"/>
              <w:jc w:val="left"/>
            </w:pPr>
            <w:r>
              <w:rPr>
                <w:rFonts w:ascii="Arial" w:hAnsi="Arial"/>
                <w:sz w:val="21"/>
              </w:rPr>
              <w:t>Bioquímico + domínio (proposto)</w:t>
            </w:r>
          </w:p>
        </w:tc>
        <w:tc>
          <w:tcPr>
            <w:tcW w:type="dxa" w:w="2098"/>
          </w:tcPr>
          <w:p>
            <w:pPr>
              <w:ind w:firstLine="0"/>
              <w:jc w:val="center"/>
            </w:pPr>
            <w:r>
              <w:rPr>
                <w:rFonts w:ascii="Arial" w:hAnsi="Arial"/>
                <w:sz w:val="21"/>
              </w:rPr>
              <w:t>0,818</w:t>
            </w:r>
          </w:p>
        </w:tc>
        <w:tc>
          <w:tcPr>
            <w:tcW w:type="dxa" w:w="1871"/>
          </w:tcPr>
          <w:p>
            <w:pPr>
              <w:ind w:firstLine="0"/>
              <w:jc w:val="center"/>
            </w:pPr>
            <w:r>
              <w:rPr>
                <w:rFonts w:ascii="Arial" w:hAnsi="Arial"/>
                <w:sz w:val="21"/>
              </w:rPr>
              <w:t>0,847</w:t>
            </w:r>
          </w:p>
        </w:tc>
      </w:tr>
      <w:tr>
        <w:trPr>
          <w:cantSplit/>
        </w:trPr>
        <w:tc>
          <w:tcPr>
            <w:tcW w:type="dxa" w:w="4535"/>
            <w:tcBorders>
              <w:bottom w:val="single" w:sz="10" w:color="000000"/>
            </w:tcBorders>
          </w:tcPr>
          <w:p>
            <w:pPr>
              <w:ind w:firstLine="0"/>
              <w:jc w:val="left"/>
            </w:pPr>
            <w:r>
              <w:rPr>
                <w:rFonts w:ascii="Arial" w:hAnsi="Arial"/>
                <w:sz w:val="21"/>
              </w:rPr>
              <w:t>Bioquímico + posição bruta (vazamento)</w:t>
            </w:r>
          </w:p>
        </w:tc>
        <w:tc>
          <w:tcPr>
            <w:tcW w:type="dxa" w:w="2098"/>
            <w:tcBorders>
              <w:bottom w:val="single" w:sz="10" w:color="000000"/>
            </w:tcBorders>
          </w:tcPr>
          <w:p>
            <w:pPr>
              <w:ind w:firstLine="0"/>
              <w:jc w:val="center"/>
            </w:pPr>
            <w:r>
              <w:rPr>
                <w:rFonts w:ascii="Arial" w:hAnsi="Arial"/>
                <w:sz w:val="21"/>
              </w:rPr>
              <w:t>0,802</w:t>
            </w:r>
          </w:p>
        </w:tc>
        <w:tc>
          <w:tcPr>
            <w:tcW w:type="dxa" w:w="1871"/>
            <w:tcBorders>
              <w:bottom w:val="single" w:sz="10" w:color="000000"/>
            </w:tcBorders>
          </w:tcPr>
          <w:p>
            <w:pPr>
              <w:ind w:firstLine="0"/>
              <w:jc w:val="center"/>
            </w:pPr>
            <w:r>
              <w:rPr>
                <w:rFonts w:ascii="Arial" w:hAnsi="Arial"/>
                <w:sz w:val="21"/>
              </w:rPr>
              <w:t>0,791</w:t>
            </w:r>
          </w:p>
        </w:tc>
      </w:tr>
    </w:tbl>
    <w:p>
      <w:pPr>
        <w:spacing w:after="240"/>
        <w:ind w:firstLine="0"/>
      </w:pPr>
      <w:r>
        <w:rPr>
          <w:rFonts w:ascii="Arial" w:hAnsi="Arial"/>
          <w:i/>
          <w:sz w:val="19"/>
        </w:rPr>
        <w:t>DeLong domínio vs. bioquímico: p = 3,2 × 10⁻⁹ (interno), p = 1,8 × 10⁻¹³ (externo). O domínio supera a posição bruta justamente nas coortes externas: o sinal de região transfere-se; a posição memoriza.</w:t>
      </w:r>
    </w:p>
    <w:p>
      <w:pPr>
        <w:spacing w:before="200"/>
        <w:ind w:firstLine="0"/>
        <w:jc w:val="center"/>
      </w:pPr>
      <w:r>
        <w:drawing>
          <wp:inline xmlns:a="http://schemas.openxmlformats.org/drawingml/2006/main" xmlns:pic="http://schemas.openxmlformats.org/drawingml/2006/picture">
            <wp:extent cx="4572000" cy="2641600"/>
            <wp:docPr id="2" name="Picture 2"/>
            <wp:cNvGraphicFramePr>
              <a:graphicFrameLocks noChangeAspect="1"/>
            </wp:cNvGraphicFramePr>
            <a:graphic>
              <a:graphicData uri="http://schemas.openxmlformats.org/drawingml/2006/picture">
                <pic:pic>
                  <pic:nvPicPr>
                    <pic:cNvPr id="0" name="fig_domain_architecture.png"/>
                    <pic:cNvPicPr/>
                  </pic:nvPicPr>
                  <pic:blipFill>
                    <a:blip r:embed="rId10"/>
                    <a:stretch>
                      <a:fillRect/>
                    </a:stretch>
                  </pic:blipFill>
                  <pic:spPr>
                    <a:xfrm>
                      <a:off x="0" y="0"/>
                      <a:ext cx="4572000" cy="2641600"/>
                    </a:xfrm>
                    <a:prstGeom prst="rect"/>
                  </pic:spPr>
                </pic:pic>
              </a:graphicData>
            </a:graphic>
          </wp:inline>
        </w:drawing>
      </w:r>
    </w:p>
    <w:p>
      <w:pPr>
        <w:spacing w:after="240"/>
        <w:ind w:firstLine="0"/>
        <w:jc w:val="center"/>
      </w:pPr>
      <w:r>
        <w:rPr>
          <w:rFonts w:ascii="Arial" w:hAnsi="Arial"/>
          <w:i/>
          <w:sz w:val="20"/>
        </w:rPr>
        <w:t>Figura 2. Domínios funcionais de BRCA1/BRCA2 com variantes reais sobrepostas. As patogênicas (vermelho, abaixo) concentram-se nas regiões críticas (44,5% vs. 6,8–10,0% fora delas) — base biológica do sinal de domínio.</w:t>
      </w:r>
    </w:p>
    <w:p>
      <w:pPr>
        <w:pStyle w:val="Heading3"/>
      </w:pPr>
      <w:r>
        <w:t>Prova visual: mutações patogênicas reais capturadas</w:t>
      </w:r>
    </w:p>
    <w:p>
      <w:pPr>
        <w:spacing w:before="0" w:after="80"/>
        <w:ind w:firstLine="709"/>
      </w:pPr>
      <w:r>
        <w:rPr>
          <w:rFonts w:ascii="Arial" w:hAnsi="Arial"/>
          <w:b w:val="0"/>
          <w:i w:val="0"/>
          <w:sz w:val="24"/>
        </w:rPr>
        <w:t>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pPr>
        <w:spacing w:before="200"/>
        <w:ind w:firstLine="0"/>
        <w:jc w:val="center"/>
      </w:pPr>
      <w:r>
        <w:drawing>
          <wp:inline xmlns:a="http://schemas.openxmlformats.org/drawingml/2006/main" xmlns:pic="http://schemas.openxmlformats.org/drawingml/2006/picture">
            <wp:extent cx="4389120" cy="2743200"/>
            <wp:docPr id="3" name="Picture 3"/>
            <wp:cNvGraphicFramePr>
              <a:graphicFrameLocks noChangeAspect="1"/>
            </wp:cNvGraphicFramePr>
            <a:graphic>
              <a:graphicData uri="http://schemas.openxmlformats.org/drawingml/2006/picture">
                <pic:pic>
                  <pic:nvPicPr>
                    <pic:cNvPr id="0" name="fig_hero_ring.png"/>
                    <pic:cNvPicPr/>
                  </pic:nvPicPr>
                  <pic:blipFill>
                    <a:blip r:embed="rId11"/>
                    <a:stretch>
                      <a:fillRect/>
                    </a:stretch>
                  </pic:blipFill>
                  <pic:spPr>
                    <a:xfrm>
                      <a:off x="0" y="0"/>
                      <a:ext cx="4389120" cy="2743200"/>
                    </a:xfrm>
                    <a:prstGeom prst="rect"/>
                  </pic:spPr>
                </pic:pic>
              </a:graphicData>
            </a:graphic>
          </wp:inline>
        </w:drawing>
      </w:r>
    </w:p>
    <w:p>
      <w:pPr>
        <w:spacing w:after="240"/>
        <w:ind w:firstLine="0"/>
        <w:jc w:val="center"/>
      </w:pPr>
      <w:r>
        <w:rPr>
          <w:rFonts w:ascii="Arial" w:hAnsi="Arial"/>
          <w:i/>
          <w:sz w:val="20"/>
        </w:rPr>
        <w:t>Figura 3.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p>
    <w:p>
      <w:pPr>
        <w:spacing w:before="200"/>
        <w:ind w:firstLine="0"/>
        <w:jc w:val="center"/>
      </w:pPr>
      <w:r>
        <w:drawing>
          <wp:inline xmlns:a="http://schemas.openxmlformats.org/drawingml/2006/main" xmlns:pic="http://schemas.openxmlformats.org/drawingml/2006/picture">
            <wp:extent cx="4206240" cy="4173991"/>
            <wp:docPr id="4" name="Picture 4"/>
            <wp:cNvGraphicFramePr>
              <a:graphicFrameLocks noChangeAspect="1"/>
            </wp:cNvGraphicFramePr>
            <a:graphic>
              <a:graphicData uri="http://schemas.openxmlformats.org/drawingml/2006/picture">
                <pic:pic>
                  <pic:nvPicPr>
                    <pic:cNvPr id="0" name="fig_detected_panel.png"/>
                    <pic:cNvPicPr/>
                  </pic:nvPicPr>
                  <pic:blipFill>
                    <a:blip r:embed="rId12"/>
                    <a:stretch>
                      <a:fillRect/>
                    </a:stretch>
                  </pic:blipFill>
                  <pic:spPr>
                    <a:xfrm>
                      <a:off x="0" y="0"/>
                      <a:ext cx="4206240" cy="4173991"/>
                    </a:xfrm>
                    <a:prstGeom prst="rect"/>
                  </pic:spPr>
                </pic:pic>
              </a:graphicData>
            </a:graphic>
          </wp:inline>
        </w:drawing>
      </w:r>
    </w:p>
    <w:p>
      <w:pPr>
        <w:spacing w:after="240"/>
        <w:ind w:firstLine="0"/>
        <w:jc w:val="center"/>
      </w:pPr>
      <w:r>
        <w:rPr>
          <w:rFonts w:ascii="Arial" w:hAnsi="Arial"/>
          <w:i/>
          <w:sz w:val="20"/>
        </w:rPr>
        <w:t>Figura 4. Seis variantes de BRCA1 confirmadas patogênicas no ClinVar, cada uma sobre sua estrutura real, com o veredito do ClinVar (selo verde) e a chamada do modelo (selo dourado) — todas detectadas com alta confiança.</w:t>
      </w:r>
    </w:p>
    <w:p>
      <w:pPr>
        <w:spacing w:before="0" w:after="80"/>
        <w:ind w:firstLine="709"/>
      </w:pPr>
      <w:r>
        <w:rPr>
          <w:rFonts w:ascii="Arial" w:hAnsi="Arial"/>
          <w:b w:val="0"/>
          <w:i w:val="0"/>
          <w:sz w:val="24"/>
        </w:rPr>
        <w:t>O mesmo exercício, repetido em BRCA2 (variantes clássicas do domínio de ligação ao DNA como Gly2748Asp, Arg3052Trp e Trp2626Cys, detectadas com 75,3% a 96,7%; painel individual no Material Suplementar), confirmou que a abordagem generaliza entre genes. A superfície molecular completa dos dois domínios, colorida por intensidade de detecção (Figura 5), torna essa generalização visível: as mesmas zonas de risco — o núcleo funcional de cada domínio — emergem, de forma independente, em BRCA1 (BRCT) e BRCA2 (DBD). Não se trata de um sinal ajustado a um único gene, mas de uma assinatura estrutural comum ao papel dessas proteínas no reparo do DNA.</w:t>
      </w:r>
    </w:p>
    <w:p>
      <w:pPr>
        <w:spacing w:before="200"/>
        <w:ind w:firstLine="0"/>
        <w:jc w:val="center"/>
      </w:pPr>
      <w:r>
        <w:drawing>
          <wp:inline xmlns:a="http://schemas.openxmlformats.org/drawingml/2006/main" xmlns:pic="http://schemas.openxmlformats.org/drawingml/2006/picture">
            <wp:extent cx="4937760" cy="3414885"/>
            <wp:docPr id="5" name="Picture 5"/>
            <wp:cNvGraphicFramePr>
              <a:graphicFrameLocks noChangeAspect="1"/>
            </wp:cNvGraphicFramePr>
            <a:graphic>
              <a:graphicData uri="http://schemas.openxmlformats.org/drawingml/2006/picture">
                <pic:pic>
                  <pic:nvPicPr>
                    <pic:cNvPr id="0" name="fig_surface_landscape.png"/>
                    <pic:cNvPicPr/>
                  </pic:nvPicPr>
                  <pic:blipFill>
                    <a:blip r:embed="rId13"/>
                    <a:stretch>
                      <a:fillRect/>
                    </a:stretch>
                  </pic:blipFill>
                  <pic:spPr>
                    <a:xfrm>
                      <a:off x="0" y="0"/>
                      <a:ext cx="4937760" cy="3414885"/>
                    </a:xfrm>
                    <a:prstGeom prst="rect"/>
                  </pic:spPr>
                </pic:pic>
              </a:graphicData>
            </a:graphic>
          </wp:inline>
        </w:drawing>
      </w:r>
    </w:p>
    <w:p>
      <w:pPr>
        <w:spacing w:after="240"/>
        <w:ind w:firstLine="0"/>
        <w:jc w:val="center"/>
      </w:pPr>
      <w:r>
        <w:rPr>
          <w:rFonts w:ascii="Arial" w:hAnsi="Arial"/>
          <w:i/>
          <w:sz w:val="20"/>
        </w:rPr>
        <w:t>Figura 5.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p>
    <w:p>
      <w:pPr>
        <w:pStyle w:val="Heading3"/>
      </w:pPr>
      <w:r>
        <w:t>Robustez, meta-análise e o modelo-carro-chefe</w:t>
      </w:r>
    </w:p>
    <w:p>
      <w:pPr>
        <w:spacing w:before="0" w:after="0"/>
        <w:ind w:firstLine="709"/>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Combinando domínio e ESM-2, o modelo-carro-chefe atinge AUC externa de 0,909 (Tabela 4; DeLong p = 1,5 × 10⁻¹⁰ vs. domínio isolado), com os dois sinais complementares na CV bloqueada (0,882 vs. 0,818 e 0,867 isolados).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confirma o escore ESM-2 e a pertinência a domínio crítico como preditores dominantes, com direção de efeito biologicamente correta.</w:t>
      </w:r>
    </w:p>
    <w:p>
      <w:pPr>
        <w:spacing w:before="200"/>
        <w:ind w:firstLine="0"/>
      </w:pPr>
      <w:r>
        <w:rPr>
          <w:rFonts w:ascii="Arial" w:hAnsi="Arial"/>
          <w:b/>
          <w:sz w:val="22"/>
        </w:rPr>
        <w:t>Tabela 4. Modelo-carro-chefe sob o protocolo anti-vazamento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969"/>
            <w:tcBorders>
              <w:top w:val="single" w:sz="10" w:color="000000"/>
              <w:bottom w:val="single" w:sz="10" w:color="000000"/>
            </w:tcBorders>
          </w:tcPr>
          <w:p>
            <w:pPr>
              <w:ind w:firstLine="0"/>
              <w:jc w:val="center"/>
            </w:pPr>
            <w:r>
              <w:rPr>
                <w:rFonts w:ascii="Arial" w:hAnsi="Arial"/>
                <w:b/>
                <w:sz w:val="21"/>
              </w:rPr>
              <w:t>Modelo</w:t>
            </w:r>
          </w:p>
        </w:tc>
        <w:tc>
          <w:tcPr>
            <w:tcW w:type="dxa" w:w="2268"/>
            <w:tcBorders>
              <w:top w:val="single" w:sz="10" w:color="000000"/>
              <w:bottom w:val="single" w:sz="10" w:color="000000"/>
            </w:tcBorders>
          </w:tcPr>
          <w:p>
            <w:pPr>
              <w:ind w:firstLine="0"/>
              <w:jc w:val="center"/>
            </w:pPr>
            <w:r>
              <w:rPr>
                <w:rFonts w:ascii="Arial" w:hAnsi="Arial"/>
                <w:b/>
                <w:sz w:val="21"/>
              </w:rPr>
              <w:t>CV bloqueada</w:t>
            </w:r>
          </w:p>
        </w:tc>
        <w:tc>
          <w:tcPr>
            <w:tcW w:type="dxa" w:w="2268"/>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969"/>
          </w:tcPr>
          <w:p>
            <w:pPr>
              <w:ind w:firstLine="0"/>
              <w:jc w:val="left"/>
            </w:pPr>
            <w:r>
              <w:rPr>
                <w:rFonts w:ascii="Arial" w:hAnsi="Arial"/>
                <w:sz w:val="21"/>
              </w:rPr>
              <w:t>Consciente de domínio</w:t>
            </w:r>
          </w:p>
        </w:tc>
        <w:tc>
          <w:tcPr>
            <w:tcW w:type="dxa" w:w="2268"/>
          </w:tcPr>
          <w:p>
            <w:pPr>
              <w:ind w:firstLine="0"/>
              <w:jc w:val="center"/>
            </w:pPr>
            <w:r>
              <w:rPr>
                <w:rFonts w:ascii="Arial" w:hAnsi="Arial"/>
                <w:sz w:val="21"/>
              </w:rPr>
              <w:t>0,818</w:t>
            </w:r>
          </w:p>
        </w:tc>
        <w:tc>
          <w:tcPr>
            <w:tcW w:type="dxa" w:w="2268"/>
          </w:tcPr>
          <w:p>
            <w:pPr>
              <w:ind w:firstLine="0"/>
              <w:jc w:val="center"/>
            </w:pPr>
            <w:r>
              <w:rPr>
                <w:rFonts w:ascii="Arial" w:hAnsi="Arial"/>
                <w:sz w:val="21"/>
              </w:rPr>
              <w:t>0,847</w:t>
            </w:r>
          </w:p>
        </w:tc>
      </w:tr>
      <w:tr>
        <w:trPr>
          <w:cantSplit/>
        </w:trPr>
        <w:tc>
          <w:tcPr>
            <w:tcW w:type="dxa" w:w="3969"/>
          </w:tcPr>
          <w:p>
            <w:pPr>
              <w:ind w:firstLine="0"/>
              <w:jc w:val="left"/>
            </w:pPr>
            <w:r>
              <w:rPr>
                <w:rFonts w:ascii="Arial" w:hAnsi="Arial"/>
                <w:sz w:val="21"/>
              </w:rPr>
              <w:t>ESM-2 (650M) sozinho</w:t>
            </w:r>
          </w:p>
        </w:tc>
        <w:tc>
          <w:tcPr>
            <w:tcW w:type="dxa" w:w="2268"/>
          </w:tcPr>
          <w:p>
            <w:pPr>
              <w:ind w:firstLine="0"/>
              <w:jc w:val="center"/>
            </w:pPr>
            <w:r>
              <w:rPr>
                <w:rFonts w:ascii="Arial" w:hAnsi="Arial"/>
                <w:sz w:val="21"/>
              </w:rPr>
              <w:t>0,867</w:t>
            </w:r>
          </w:p>
        </w:tc>
        <w:tc>
          <w:tcPr>
            <w:tcW w:type="dxa" w:w="2268"/>
          </w:tcPr>
          <w:p>
            <w:pPr>
              <w:ind w:firstLine="0"/>
              <w:jc w:val="center"/>
            </w:pPr>
            <w:r>
              <w:rPr>
                <w:rFonts w:ascii="Arial" w:hAnsi="Arial"/>
                <w:sz w:val="21"/>
              </w:rPr>
              <w:t>0,907</w:t>
            </w:r>
          </w:p>
        </w:tc>
      </w:tr>
      <w:tr>
        <w:trPr>
          <w:cantSplit/>
        </w:trPr>
        <w:tc>
          <w:tcPr>
            <w:tcW w:type="dxa" w:w="3969"/>
            <w:tcBorders>
              <w:bottom w:val="single" w:sz="10" w:color="000000"/>
            </w:tcBorders>
          </w:tcPr>
          <w:p>
            <w:pPr>
              <w:ind w:firstLine="0"/>
              <w:jc w:val="left"/>
            </w:pPr>
            <w:r>
              <w:rPr>
                <w:rFonts w:ascii="Arial" w:hAnsi="Arial"/>
                <w:sz w:val="21"/>
              </w:rPr>
              <w:t>Domínio + ESM-2 (carro-chefe)</w:t>
            </w:r>
          </w:p>
        </w:tc>
        <w:tc>
          <w:tcPr>
            <w:tcW w:type="dxa" w:w="2268"/>
            <w:tcBorders>
              <w:bottom w:val="single" w:sz="10" w:color="000000"/>
            </w:tcBorders>
          </w:tcPr>
          <w:p>
            <w:pPr>
              <w:ind w:firstLine="0"/>
              <w:jc w:val="center"/>
            </w:pPr>
            <w:r>
              <w:rPr>
                <w:rFonts w:ascii="Arial" w:hAnsi="Arial"/>
                <w:sz w:val="21"/>
              </w:rPr>
              <w:t>0,882</w:t>
            </w:r>
          </w:p>
        </w:tc>
        <w:tc>
          <w:tcPr>
            <w:tcW w:type="dxa" w:w="2268"/>
            <w:tcBorders>
              <w:bottom w:val="single" w:sz="10" w:color="000000"/>
            </w:tcBorders>
          </w:tcPr>
          <w:p>
            <w:pPr>
              <w:ind w:firstLine="0"/>
              <w:jc w:val="center"/>
            </w:pPr>
            <w:r>
              <w:rPr>
                <w:rFonts w:ascii="Arial" w:hAnsi="Arial"/>
                <w:sz w:val="21"/>
              </w:rPr>
              <w:t>0,909</w:t>
            </w:r>
          </w:p>
        </w:tc>
      </w:tr>
    </w:tbl>
    <w:p>
      <w:pPr>
        <w:spacing w:before="200"/>
        <w:ind w:firstLine="0"/>
      </w:pPr>
      <w:r>
        <w:rPr>
          <w:rFonts w:ascii="Arial" w:hAnsi="Arial"/>
          <w:b/>
          <w:sz w:val="22"/>
        </w:rPr>
        <w:t>Tabela 5. Desempenho do modelo-carro-chefe por coorte externa. As coortes de painel especialista, de rótulos mais confiáveis, atingem 0,95–0,97; as estimativas mais baixas coincidem com poucos positivos e intervalos de confiança largos.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3402"/>
            <w:tcBorders>
              <w:top w:val="single" w:sz="10" w:color="000000"/>
              <w:bottom w:val="single" w:sz="10" w:color="000000"/>
            </w:tcBorders>
          </w:tcPr>
          <w:p>
            <w:pPr>
              <w:ind w:firstLine="0"/>
              <w:jc w:val="center"/>
            </w:pPr>
            <w:r>
              <w:rPr>
                <w:rFonts w:ascii="Arial" w:hAnsi="Arial"/>
                <w:b/>
                <w:sz w:val="21"/>
              </w:rPr>
              <w:t>Coorte externa</w:t>
            </w:r>
          </w:p>
        </w:tc>
        <w:tc>
          <w:tcPr>
            <w:tcW w:type="dxa" w:w="850"/>
            <w:tcBorders>
              <w:top w:val="single" w:sz="10" w:color="000000"/>
              <w:bottom w:val="single" w:sz="10" w:color="000000"/>
            </w:tcBorders>
          </w:tcPr>
          <w:p>
            <w:pPr>
              <w:ind w:firstLine="0"/>
              <w:jc w:val="center"/>
            </w:pPr>
            <w:r>
              <w:rPr>
                <w:rFonts w:ascii="Arial" w:hAnsi="Arial"/>
                <w:b/>
                <w:sz w:val="21"/>
              </w:rPr>
              <w:t>n</w:t>
            </w:r>
          </w:p>
        </w:tc>
        <w:tc>
          <w:tcPr>
            <w:tcW w:type="dxa" w:w="1134"/>
            <w:tcBorders>
              <w:top w:val="single" w:sz="10" w:color="000000"/>
              <w:bottom w:val="single" w:sz="10" w:color="000000"/>
            </w:tcBorders>
          </w:tcPr>
          <w:p>
            <w:pPr>
              <w:ind w:firstLine="0"/>
              <w:jc w:val="center"/>
            </w:pPr>
            <w:r>
              <w:rPr>
                <w:rFonts w:ascii="Arial" w:hAnsi="Arial"/>
                <w:b/>
                <w:sz w:val="21"/>
              </w:rPr>
              <w:t>patog.</w:t>
            </w:r>
          </w:p>
        </w:tc>
        <w:tc>
          <w:tcPr>
            <w:tcW w:type="dxa" w:w="1814"/>
            <w:tcBorders>
              <w:top w:val="single" w:sz="10" w:color="000000"/>
              <w:bottom w:val="single" w:sz="10" w:color="000000"/>
            </w:tcBorders>
          </w:tcPr>
          <w:p>
            <w:pPr>
              <w:ind w:firstLine="0"/>
              <w:jc w:val="center"/>
            </w:pPr>
            <w:r>
              <w:rPr>
                <w:rFonts w:ascii="Arial" w:hAnsi="Arial"/>
                <w:b/>
                <w:sz w:val="21"/>
              </w:rPr>
              <w:t>AUC (modelo)</w:t>
            </w:r>
          </w:p>
        </w:tc>
        <w:tc>
          <w:tcPr>
            <w:tcW w:type="dxa" w:w="1701"/>
            <w:tcBorders>
              <w:top w:val="single" w:sz="10" w:color="000000"/>
              <w:bottom w:val="single" w:sz="10" w:color="000000"/>
            </w:tcBorders>
          </w:tcPr>
          <w:p>
            <w:pPr>
              <w:ind w:firstLine="0"/>
              <w:jc w:val="center"/>
            </w:pPr>
            <w:r>
              <w:rPr>
                <w:rFonts w:ascii="Arial" w:hAnsi="Arial"/>
                <w:b/>
                <w:sz w:val="21"/>
              </w:rPr>
              <w:t>IC95%</w:t>
            </w:r>
          </w:p>
        </w:tc>
      </w:tr>
      <w:tr>
        <w:trPr>
          <w:cantSplit/>
        </w:trPr>
        <w:tc>
          <w:tcPr>
            <w:tcW w:type="dxa" w:w="3402"/>
          </w:tcPr>
          <w:p>
            <w:pPr>
              <w:ind w:firstLine="0"/>
              <w:jc w:val="left"/>
            </w:pPr>
            <w:r>
              <w:rPr>
                <w:rFonts w:ascii="Arial" w:hAnsi="Arial"/>
                <w:sz w:val="21"/>
              </w:rPr>
              <w:t>BRCA1 — painel especialista</w:t>
            </w:r>
          </w:p>
        </w:tc>
        <w:tc>
          <w:tcPr>
            <w:tcW w:type="dxa" w:w="850"/>
          </w:tcPr>
          <w:p>
            <w:pPr>
              <w:ind w:firstLine="0"/>
              <w:jc w:val="center"/>
            </w:pPr>
            <w:r>
              <w:rPr>
                <w:rFonts w:ascii="Arial" w:hAnsi="Arial"/>
                <w:sz w:val="21"/>
              </w:rPr>
              <w:t>204</w:t>
            </w:r>
          </w:p>
        </w:tc>
        <w:tc>
          <w:tcPr>
            <w:tcW w:type="dxa" w:w="1134"/>
          </w:tcPr>
          <w:p>
            <w:pPr>
              <w:ind w:firstLine="0"/>
              <w:jc w:val="center"/>
            </w:pPr>
            <w:r>
              <w:rPr>
                <w:rFonts w:ascii="Arial" w:hAnsi="Arial"/>
                <w:sz w:val="21"/>
              </w:rPr>
              <w:t>69</w:t>
            </w:r>
          </w:p>
        </w:tc>
        <w:tc>
          <w:tcPr>
            <w:tcW w:type="dxa" w:w="1814"/>
          </w:tcPr>
          <w:p>
            <w:pPr>
              <w:ind w:firstLine="0"/>
              <w:jc w:val="center"/>
            </w:pPr>
            <w:r>
              <w:rPr>
                <w:rFonts w:ascii="Arial" w:hAnsi="Arial"/>
                <w:sz w:val="21"/>
              </w:rPr>
              <w:t>0,968</w:t>
            </w:r>
          </w:p>
        </w:tc>
        <w:tc>
          <w:tcPr>
            <w:tcW w:type="dxa" w:w="1701"/>
          </w:tcPr>
          <w:p>
            <w:pPr>
              <w:ind w:firstLine="0"/>
              <w:jc w:val="center"/>
            </w:pPr>
            <w:r>
              <w:rPr>
                <w:rFonts w:ascii="Arial" w:hAnsi="Arial"/>
                <w:sz w:val="21"/>
              </w:rPr>
              <w:t>0,939–0,989</w:t>
            </w:r>
          </w:p>
        </w:tc>
      </w:tr>
      <w:tr>
        <w:trPr>
          <w:cantSplit/>
        </w:trPr>
        <w:tc>
          <w:tcPr>
            <w:tcW w:type="dxa" w:w="3402"/>
          </w:tcPr>
          <w:p>
            <w:pPr>
              <w:ind w:firstLine="0"/>
              <w:jc w:val="left"/>
            </w:pPr>
            <w:r>
              <w:rPr>
                <w:rFonts w:ascii="Arial" w:hAnsi="Arial"/>
                <w:sz w:val="21"/>
              </w:rPr>
              <w:t>BRCA2 — painel especialista</w:t>
            </w:r>
          </w:p>
        </w:tc>
        <w:tc>
          <w:tcPr>
            <w:tcW w:type="dxa" w:w="850"/>
          </w:tcPr>
          <w:p>
            <w:pPr>
              <w:ind w:firstLine="0"/>
              <w:jc w:val="center"/>
            </w:pPr>
            <w:r>
              <w:rPr>
                <w:rFonts w:ascii="Arial" w:hAnsi="Arial"/>
                <w:sz w:val="21"/>
              </w:rPr>
              <w:t>175</w:t>
            </w:r>
          </w:p>
        </w:tc>
        <w:tc>
          <w:tcPr>
            <w:tcW w:type="dxa" w:w="1134"/>
          </w:tcPr>
          <w:p>
            <w:pPr>
              <w:ind w:firstLine="0"/>
              <w:jc w:val="center"/>
            </w:pPr>
            <w:r>
              <w:rPr>
                <w:rFonts w:ascii="Arial" w:hAnsi="Arial"/>
                <w:sz w:val="21"/>
              </w:rPr>
              <w:t>39</w:t>
            </w:r>
          </w:p>
        </w:tc>
        <w:tc>
          <w:tcPr>
            <w:tcW w:type="dxa" w:w="1814"/>
          </w:tcPr>
          <w:p>
            <w:pPr>
              <w:ind w:firstLine="0"/>
              <w:jc w:val="center"/>
            </w:pPr>
            <w:r>
              <w:rPr>
                <w:rFonts w:ascii="Arial" w:hAnsi="Arial"/>
                <w:sz w:val="21"/>
              </w:rPr>
              <w:t>0,953</w:t>
            </w:r>
          </w:p>
        </w:tc>
        <w:tc>
          <w:tcPr>
            <w:tcW w:type="dxa" w:w="1701"/>
          </w:tcPr>
          <w:p>
            <w:pPr>
              <w:ind w:firstLine="0"/>
              <w:jc w:val="center"/>
            </w:pPr>
            <w:r>
              <w:rPr>
                <w:rFonts w:ascii="Arial" w:hAnsi="Arial"/>
                <w:sz w:val="21"/>
              </w:rPr>
              <w:t>0,894–0,992</w:t>
            </w:r>
          </w:p>
        </w:tc>
      </w:tr>
      <w:tr>
        <w:trPr>
          <w:cantSplit/>
        </w:trPr>
        <w:tc>
          <w:tcPr>
            <w:tcW w:type="dxa" w:w="3402"/>
          </w:tcPr>
          <w:p>
            <w:pPr>
              <w:ind w:firstLine="0"/>
              <w:jc w:val="left"/>
            </w:pPr>
            <w:r>
              <w:rPr>
                <w:rFonts w:ascii="Arial" w:hAnsi="Arial"/>
                <w:sz w:val="21"/>
              </w:rPr>
              <w:t>BRCA2 — coorte externa</w:t>
            </w:r>
          </w:p>
        </w:tc>
        <w:tc>
          <w:tcPr>
            <w:tcW w:type="dxa" w:w="850"/>
          </w:tcPr>
          <w:p>
            <w:pPr>
              <w:ind w:firstLine="0"/>
              <w:jc w:val="center"/>
            </w:pPr>
            <w:r>
              <w:rPr>
                <w:rFonts w:ascii="Arial" w:hAnsi="Arial"/>
                <w:sz w:val="21"/>
              </w:rPr>
              <w:t>289</w:t>
            </w:r>
          </w:p>
        </w:tc>
        <w:tc>
          <w:tcPr>
            <w:tcW w:type="dxa" w:w="1134"/>
          </w:tcPr>
          <w:p>
            <w:pPr>
              <w:ind w:firstLine="0"/>
              <w:jc w:val="center"/>
            </w:pPr>
            <w:r>
              <w:rPr>
                <w:rFonts w:ascii="Arial" w:hAnsi="Arial"/>
                <w:sz w:val="21"/>
              </w:rPr>
              <w:t>15</w:t>
            </w:r>
          </w:p>
        </w:tc>
        <w:tc>
          <w:tcPr>
            <w:tcW w:type="dxa" w:w="1814"/>
          </w:tcPr>
          <w:p>
            <w:pPr>
              <w:ind w:firstLine="0"/>
              <w:jc w:val="center"/>
            </w:pPr>
            <w:r>
              <w:rPr>
                <w:rFonts w:ascii="Arial" w:hAnsi="Arial"/>
                <w:sz w:val="21"/>
              </w:rPr>
              <w:t>0,800</w:t>
            </w:r>
          </w:p>
        </w:tc>
        <w:tc>
          <w:tcPr>
            <w:tcW w:type="dxa" w:w="1701"/>
          </w:tcPr>
          <w:p>
            <w:pPr>
              <w:ind w:firstLine="0"/>
              <w:jc w:val="center"/>
            </w:pPr>
            <w:r>
              <w:rPr>
                <w:rFonts w:ascii="Arial" w:hAnsi="Arial"/>
                <w:sz w:val="21"/>
              </w:rPr>
              <w:t>0,649–0,936</w:t>
            </w:r>
          </w:p>
        </w:tc>
      </w:tr>
      <w:tr>
        <w:trPr>
          <w:cantSplit/>
        </w:trPr>
        <w:tc>
          <w:tcPr>
            <w:tcW w:type="dxa" w:w="3402"/>
            <w:tcBorders>
              <w:bottom w:val="single" w:sz="10" w:color="000000"/>
            </w:tcBorders>
          </w:tcPr>
          <w:p>
            <w:pPr>
              <w:ind w:firstLine="0"/>
              <w:jc w:val="left"/>
            </w:pPr>
            <w:r>
              <w:rPr>
                <w:rFonts w:ascii="Arial" w:hAnsi="Arial"/>
                <w:sz w:val="21"/>
              </w:rPr>
              <w:t>BRCA1 — coorte externa</w:t>
            </w:r>
          </w:p>
        </w:tc>
        <w:tc>
          <w:tcPr>
            <w:tcW w:type="dxa" w:w="850"/>
            <w:tcBorders>
              <w:bottom w:val="single" w:sz="10" w:color="000000"/>
            </w:tcBorders>
          </w:tcPr>
          <w:p>
            <w:pPr>
              <w:ind w:firstLine="0"/>
              <w:jc w:val="center"/>
            </w:pPr>
            <w:r>
              <w:rPr>
                <w:rFonts w:ascii="Arial" w:hAnsi="Arial"/>
                <w:sz w:val="21"/>
              </w:rPr>
              <w:t>168</w:t>
            </w:r>
          </w:p>
        </w:tc>
        <w:tc>
          <w:tcPr>
            <w:tcW w:type="dxa" w:w="1134"/>
            <w:tcBorders>
              <w:bottom w:val="single" w:sz="10" w:color="000000"/>
            </w:tcBorders>
          </w:tcPr>
          <w:p>
            <w:pPr>
              <w:ind w:firstLine="0"/>
              <w:jc w:val="center"/>
            </w:pPr>
            <w:r>
              <w:rPr>
                <w:rFonts w:ascii="Arial" w:hAnsi="Arial"/>
                <w:sz w:val="21"/>
              </w:rPr>
              <w:t>21</w:t>
            </w:r>
          </w:p>
        </w:tc>
        <w:tc>
          <w:tcPr>
            <w:tcW w:type="dxa" w:w="1814"/>
            <w:tcBorders>
              <w:bottom w:val="single" w:sz="10" w:color="000000"/>
            </w:tcBorders>
          </w:tcPr>
          <w:p>
            <w:pPr>
              <w:ind w:firstLine="0"/>
              <w:jc w:val="center"/>
            </w:pPr>
            <w:r>
              <w:rPr>
                <w:rFonts w:ascii="Arial" w:hAnsi="Arial"/>
                <w:sz w:val="21"/>
              </w:rPr>
              <w:t>0,651</w:t>
            </w:r>
          </w:p>
        </w:tc>
        <w:tc>
          <w:tcPr>
            <w:tcW w:type="dxa" w:w="1701"/>
            <w:tcBorders>
              <w:bottom w:val="single" w:sz="10" w:color="000000"/>
            </w:tcBorders>
          </w:tcPr>
          <w:p>
            <w:pPr>
              <w:ind w:firstLine="0"/>
              <w:jc w:val="center"/>
            </w:pPr>
            <w:r>
              <w:rPr>
                <w:rFonts w:ascii="Arial" w:hAnsi="Arial"/>
                <w:sz w:val="21"/>
              </w:rPr>
              <w:t>0,521–0,776</w:t>
            </w:r>
          </w:p>
        </w:tc>
      </w:tr>
    </w:tbl>
    <w:p>
      <w:pPr>
        <w:pStyle w:val="Heading3"/>
      </w:pPr>
      <w:r>
        <w:t>Vazamento a favor de terceiros: a comparação honesta</w:t>
      </w:r>
    </w:p>
    <w:p>
      <w:pPr>
        <w:spacing w:before="0" w:after="80"/>
        <w:ind w:firstLine="709"/>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pPr>
        <w:spacing w:before="200"/>
        <w:ind w:firstLine="0"/>
        <w:jc w:val="center"/>
      </w:pPr>
      <w:r>
        <w:drawing>
          <wp:inline xmlns:a="http://schemas.openxmlformats.org/drawingml/2006/main" xmlns:pic="http://schemas.openxmlformats.org/drawingml/2006/picture">
            <wp:extent cx="5120640" cy="2620685"/>
            <wp:docPr id="6" name="Picture 6"/>
            <wp:cNvGraphicFramePr>
              <a:graphicFrameLocks noChangeAspect="1"/>
            </wp:cNvGraphicFramePr>
            <a:graphic>
              <a:graphicData uri="http://schemas.openxmlformats.org/drawingml/2006/picture">
                <pic:pic>
                  <pic:nvPicPr>
                    <pic:cNvPr id="0" name="fig_benchmark_leakage_controlled.png"/>
                    <pic:cNvPicPr/>
                  </pic:nvPicPr>
                  <pic:blipFill>
                    <a:blip r:embed="rId14"/>
                    <a:stretch>
                      <a:fillRect/>
                    </a:stretch>
                  </pic:blipFill>
                  <pic:spPr>
                    <a:xfrm>
                      <a:off x="0" y="0"/>
                      <a:ext cx="5120640" cy="2620685"/>
                    </a:xfrm>
                    <a:prstGeom prst="rect"/>
                  </pic:spPr>
                </pic:pic>
              </a:graphicData>
            </a:graphic>
          </wp:inline>
        </w:drawing>
      </w:r>
    </w:p>
    <w:p>
      <w:pPr>
        <w:spacing w:after="240"/>
        <w:ind w:firstLine="0"/>
        <w:jc w:val="center"/>
      </w:pPr>
      <w:r>
        <w:rPr>
          <w:rFonts w:ascii="Arial" w:hAnsi="Arial"/>
          <w:i/>
          <w:sz w:val="20"/>
        </w:rPr>
        <w:t>Figura 6. Comparação honesta com o estado da arte: preditores supervisionados/calibrados em ClinVar (azul) têm circularidade a favor; o modelo-carro-chefe (vermelho) é avaliado fora da distribuição.</w:t>
      </w:r>
    </w:p>
    <w:p>
      <w:pPr>
        <w:spacing w:before="200"/>
        <w:ind w:firstLine="0"/>
      </w:pPr>
      <w:r>
        <w:rPr>
          <w:rFonts w:ascii="Arial" w:hAnsi="Arial"/>
          <w:b/>
          <w:sz w:val="22"/>
        </w:rPr>
        <w:t>Tabela 6. Comparação honesta com o estado da arte (n = 836).</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928"/>
            <w:tcBorders>
              <w:top w:val="single" w:sz="10" w:color="000000"/>
              <w:bottom w:val="single" w:sz="10" w:color="000000"/>
            </w:tcBorders>
          </w:tcPr>
          <w:p>
            <w:pPr>
              <w:ind w:firstLine="0"/>
              <w:jc w:val="center"/>
            </w:pPr>
            <w:r>
              <w:rPr>
                <w:rFonts w:ascii="Arial" w:hAnsi="Arial"/>
                <w:b/>
                <w:sz w:val="21"/>
              </w:rPr>
              <w:t>Ferramenta</w:t>
            </w:r>
          </w:p>
        </w:tc>
        <w:tc>
          <w:tcPr>
            <w:tcW w:type="dxa" w:w="1077"/>
            <w:tcBorders>
              <w:top w:val="single" w:sz="10" w:color="000000"/>
              <w:bottom w:val="single" w:sz="10" w:color="000000"/>
            </w:tcBorders>
          </w:tcPr>
          <w:p>
            <w:pPr>
              <w:ind w:firstLine="0"/>
              <w:jc w:val="center"/>
            </w:pPr>
            <w:r>
              <w:rPr>
                <w:rFonts w:ascii="Arial" w:hAnsi="Arial"/>
                <w:b/>
                <w:sz w:val="21"/>
              </w:rPr>
              <w:t>AUC</w:t>
            </w:r>
          </w:p>
        </w:tc>
        <w:tc>
          <w:tcPr>
            <w:tcW w:type="dxa" w:w="3061"/>
            <w:tcBorders>
              <w:top w:val="single" w:sz="10" w:color="000000"/>
              <w:bottom w:val="single" w:sz="10" w:color="000000"/>
            </w:tcBorders>
          </w:tcPr>
          <w:p>
            <w:pPr>
              <w:ind w:firstLine="0"/>
              <w:jc w:val="center"/>
            </w:pPr>
            <w:r>
              <w:rPr>
                <w:rFonts w:ascii="Arial" w:hAnsi="Arial"/>
                <w:b/>
                <w:sz w:val="21"/>
              </w:rPr>
              <w:t>Regime</w:t>
            </w:r>
          </w:p>
        </w:tc>
        <w:tc>
          <w:tcPr>
            <w:tcW w:type="dxa" w:w="1814"/>
            <w:tcBorders>
              <w:top w:val="single" w:sz="10" w:color="000000"/>
              <w:bottom w:val="single" w:sz="10" w:color="000000"/>
            </w:tcBorders>
          </w:tcPr>
          <w:p>
            <w:pPr>
              <w:ind w:firstLine="0"/>
              <w:jc w:val="center"/>
            </w:pPr>
            <w:r>
              <w:rPr>
                <w:rFonts w:ascii="Arial" w:hAnsi="Arial"/>
                <w:b/>
                <w:sz w:val="21"/>
              </w:rPr>
              <w:t>DeLong vs. modelo</w:t>
            </w:r>
          </w:p>
        </w:tc>
      </w:tr>
      <w:tr>
        <w:trPr>
          <w:cantSplit/>
        </w:trPr>
        <w:tc>
          <w:tcPr>
            <w:tcW w:type="dxa" w:w="1928"/>
          </w:tcPr>
          <w:p>
            <w:pPr>
              <w:ind w:firstLine="0"/>
              <w:jc w:val="left"/>
            </w:pPr>
            <w:r>
              <w:rPr>
                <w:rFonts w:ascii="Arial" w:hAnsi="Arial"/>
                <w:sz w:val="21"/>
              </w:rPr>
              <w:t>REVEL</w:t>
            </w:r>
          </w:p>
        </w:tc>
        <w:tc>
          <w:tcPr>
            <w:tcW w:type="dxa" w:w="1077"/>
          </w:tcPr>
          <w:p>
            <w:pPr>
              <w:ind w:firstLine="0"/>
              <w:jc w:val="center"/>
            </w:pPr>
            <w:r>
              <w:rPr>
                <w:rFonts w:ascii="Arial" w:hAnsi="Arial"/>
                <w:sz w:val="21"/>
              </w:rPr>
              <w:t>0,930</w:t>
            </w:r>
          </w:p>
        </w:tc>
        <w:tc>
          <w:tcPr>
            <w:tcW w:type="dxa" w:w="3061"/>
          </w:tcPr>
          <w:p>
            <w:pPr>
              <w:ind w:firstLine="0"/>
              <w:jc w:val="center"/>
            </w:pPr>
            <w:r>
              <w:rPr>
                <w:rFonts w:ascii="Arial" w:hAnsi="Arial"/>
                <w:sz w:val="21"/>
              </w:rPr>
              <w:t>supervisionado em ClinVar</w:t>
            </w:r>
          </w:p>
        </w:tc>
        <w:tc>
          <w:tcPr>
            <w:tcW w:type="dxa" w:w="1814"/>
          </w:tcPr>
          <w:p>
            <w:pPr>
              <w:ind w:firstLine="0"/>
              <w:jc w:val="center"/>
            </w:pPr>
            <w:r>
              <w:rPr>
                <w:rFonts w:ascii="Arial" w:hAnsi="Arial"/>
                <w:sz w:val="21"/>
              </w:rPr>
              <w:t>p=0,14 (n.s.)</w:t>
            </w:r>
          </w:p>
        </w:tc>
      </w:tr>
      <w:tr>
        <w:trPr>
          <w:cantSplit/>
        </w:trPr>
        <w:tc>
          <w:tcPr>
            <w:tcW w:type="dxa" w:w="1928"/>
          </w:tcPr>
          <w:p>
            <w:pPr>
              <w:ind w:firstLine="0"/>
              <w:jc w:val="left"/>
            </w:pPr>
            <w:r>
              <w:rPr>
                <w:rFonts w:ascii="Arial" w:hAnsi="Arial"/>
                <w:sz w:val="21"/>
              </w:rPr>
              <w:t>AlphaMissense</w:t>
            </w:r>
          </w:p>
        </w:tc>
        <w:tc>
          <w:tcPr>
            <w:tcW w:type="dxa" w:w="1077"/>
          </w:tcPr>
          <w:p>
            <w:pPr>
              <w:ind w:firstLine="0"/>
              <w:jc w:val="center"/>
            </w:pPr>
            <w:r>
              <w:rPr>
                <w:rFonts w:ascii="Arial" w:hAnsi="Arial"/>
                <w:sz w:val="21"/>
              </w:rPr>
              <w:t>0,926</w:t>
            </w:r>
          </w:p>
        </w:tc>
        <w:tc>
          <w:tcPr>
            <w:tcW w:type="dxa" w:w="3061"/>
          </w:tcPr>
          <w:p>
            <w:pPr>
              <w:ind w:firstLine="0"/>
              <w:jc w:val="center"/>
            </w:pPr>
            <w:r>
              <w:rPr>
                <w:rFonts w:ascii="Arial" w:hAnsi="Arial"/>
                <w:sz w:val="21"/>
              </w:rPr>
              <w:t>calibrado em ClinVar</w:t>
            </w:r>
          </w:p>
        </w:tc>
        <w:tc>
          <w:tcPr>
            <w:tcW w:type="dxa" w:w="1814"/>
          </w:tcPr>
          <w:p>
            <w:pPr>
              <w:ind w:firstLine="0"/>
              <w:jc w:val="center"/>
            </w:pPr>
            <w:r>
              <w:rPr>
                <w:rFonts w:ascii="Arial" w:hAnsi="Arial"/>
                <w:sz w:val="21"/>
              </w:rPr>
              <w:t>p=0,24 (n.s.)</w:t>
            </w:r>
          </w:p>
        </w:tc>
      </w:tr>
      <w:tr>
        <w:trPr>
          <w:cantSplit/>
        </w:trPr>
        <w:tc>
          <w:tcPr>
            <w:tcW w:type="dxa" w:w="1928"/>
          </w:tcPr>
          <w:p>
            <w:pPr>
              <w:ind w:firstLine="0"/>
              <w:jc w:val="left"/>
            </w:pPr>
            <w:r>
              <w:rPr>
                <w:rFonts w:ascii="Arial" w:hAnsi="Arial"/>
                <w:sz w:val="21"/>
              </w:rPr>
              <w:t>PrimeVarClass</w:t>
            </w:r>
          </w:p>
        </w:tc>
        <w:tc>
          <w:tcPr>
            <w:tcW w:type="dxa" w:w="1077"/>
          </w:tcPr>
          <w:p>
            <w:pPr>
              <w:ind w:firstLine="0"/>
              <w:jc w:val="center"/>
            </w:pPr>
            <w:r>
              <w:rPr>
                <w:rFonts w:ascii="Arial" w:hAnsi="Arial"/>
                <w:sz w:val="21"/>
              </w:rPr>
              <w:t>0,909</w:t>
            </w:r>
          </w:p>
        </w:tc>
        <w:tc>
          <w:tcPr>
            <w:tcW w:type="dxa" w:w="3061"/>
          </w:tcPr>
          <w:p>
            <w:pPr>
              <w:ind w:firstLine="0"/>
              <w:jc w:val="center"/>
            </w:pPr>
            <w:r>
              <w:rPr>
                <w:rFonts w:ascii="Arial" w:hAnsi="Arial"/>
                <w:sz w:val="21"/>
              </w:rPr>
              <w:t>cego ao externo</w:t>
            </w:r>
          </w:p>
        </w:tc>
        <w:tc>
          <w:tcPr>
            <w:tcW w:type="dxa" w:w="1814"/>
          </w:tcPr>
          <w:p>
            <w:pPr>
              <w:ind w:firstLine="0"/>
              <w:jc w:val="center"/>
            </w:pPr>
            <w:r>
              <w:rPr>
                <w:rFonts w:ascii="Arial" w:hAnsi="Arial"/>
                <w:sz w:val="21"/>
              </w:rPr>
              <w:t>—</w:t>
            </w:r>
          </w:p>
        </w:tc>
      </w:tr>
      <w:tr>
        <w:trPr>
          <w:cantSplit/>
        </w:trPr>
        <w:tc>
          <w:tcPr>
            <w:tcW w:type="dxa" w:w="1928"/>
          </w:tcPr>
          <w:p>
            <w:pPr>
              <w:ind w:firstLine="0"/>
              <w:jc w:val="left"/>
            </w:pPr>
            <w:r>
              <w:rPr>
                <w:rFonts w:ascii="Arial" w:hAnsi="Arial"/>
                <w:sz w:val="21"/>
              </w:rPr>
              <w:t>CADD</w:t>
            </w:r>
          </w:p>
        </w:tc>
        <w:tc>
          <w:tcPr>
            <w:tcW w:type="dxa" w:w="1077"/>
          </w:tcPr>
          <w:p>
            <w:pPr>
              <w:ind w:firstLine="0"/>
              <w:jc w:val="center"/>
            </w:pPr>
            <w:r>
              <w:rPr>
                <w:rFonts w:ascii="Arial" w:hAnsi="Arial"/>
                <w:sz w:val="21"/>
              </w:rPr>
              <w:t>0,891</w:t>
            </w:r>
          </w:p>
        </w:tc>
        <w:tc>
          <w:tcPr>
            <w:tcW w:type="dxa" w:w="3061"/>
          </w:tcPr>
          <w:p>
            <w:pPr>
              <w:ind w:firstLine="0"/>
              <w:jc w:val="center"/>
            </w:pPr>
            <w:r>
              <w:rPr>
                <w:rFonts w:ascii="Arial" w:hAnsi="Arial"/>
                <w:sz w:val="21"/>
              </w:rPr>
              <w:t>supervisionado em ClinVar</w:t>
            </w:r>
          </w:p>
        </w:tc>
        <w:tc>
          <w:tcPr>
            <w:tcW w:type="dxa" w:w="1814"/>
          </w:tcPr>
          <w:p>
            <w:pPr>
              <w:ind w:firstLine="0"/>
              <w:jc w:val="center"/>
            </w:pPr>
            <w:r>
              <w:rPr>
                <w:rFonts w:ascii="Arial" w:hAnsi="Arial"/>
                <w:sz w:val="21"/>
              </w:rPr>
              <w:t>p=0,37 (n.s.)</w:t>
            </w:r>
          </w:p>
        </w:tc>
      </w:tr>
      <w:tr>
        <w:trPr>
          <w:cantSplit/>
        </w:trPr>
        <w:tc>
          <w:tcPr>
            <w:tcW w:type="dxa" w:w="1928"/>
          </w:tcPr>
          <w:p>
            <w:pPr>
              <w:ind w:firstLine="0"/>
              <w:jc w:val="left"/>
            </w:pPr>
            <w:r>
              <w:rPr>
                <w:rFonts w:ascii="Arial" w:hAnsi="Arial"/>
                <w:sz w:val="21"/>
              </w:rPr>
              <w:t>SIFT</w:t>
            </w:r>
          </w:p>
        </w:tc>
        <w:tc>
          <w:tcPr>
            <w:tcW w:type="dxa" w:w="1077"/>
          </w:tcPr>
          <w:p>
            <w:pPr>
              <w:ind w:firstLine="0"/>
              <w:jc w:val="center"/>
            </w:pPr>
            <w:r>
              <w:rPr>
                <w:rFonts w:ascii="Arial" w:hAnsi="Arial"/>
                <w:sz w:val="21"/>
              </w:rPr>
              <w:t>0,845</w:t>
            </w:r>
          </w:p>
        </w:tc>
        <w:tc>
          <w:tcPr>
            <w:tcW w:type="dxa" w:w="3061"/>
          </w:tcPr>
          <w:p>
            <w:pPr>
              <w:ind w:firstLine="0"/>
              <w:jc w:val="center"/>
            </w:pPr>
            <w:r>
              <w:rPr>
                <w:rFonts w:ascii="Arial" w:hAnsi="Arial"/>
                <w:sz w:val="21"/>
              </w:rPr>
              <w:t>não supervisionado</w:t>
            </w:r>
          </w:p>
        </w:tc>
        <w:tc>
          <w:tcPr>
            <w:tcW w:type="dxa" w:w="1814"/>
          </w:tcPr>
          <w:p>
            <w:pPr>
              <w:ind w:firstLine="0"/>
              <w:jc w:val="center"/>
            </w:pPr>
            <w:r>
              <w:rPr>
                <w:rFonts w:ascii="Arial" w:hAnsi="Arial"/>
                <w:sz w:val="21"/>
              </w:rPr>
              <w:t>p=0,001</w:t>
            </w:r>
          </w:p>
        </w:tc>
      </w:tr>
      <w:tr>
        <w:trPr>
          <w:cantSplit/>
        </w:trPr>
        <w:tc>
          <w:tcPr>
            <w:tcW w:type="dxa" w:w="1928"/>
            <w:tcBorders>
              <w:bottom w:val="single" w:sz="10" w:color="000000"/>
            </w:tcBorders>
          </w:tcPr>
          <w:p>
            <w:pPr>
              <w:ind w:firstLine="0"/>
              <w:jc w:val="left"/>
            </w:pPr>
            <w:r>
              <w:rPr>
                <w:rFonts w:ascii="Arial" w:hAnsi="Arial"/>
                <w:sz w:val="21"/>
              </w:rPr>
              <w:t>PolyPhen-2</w:t>
            </w:r>
          </w:p>
        </w:tc>
        <w:tc>
          <w:tcPr>
            <w:tcW w:type="dxa" w:w="1077"/>
            <w:tcBorders>
              <w:bottom w:val="single" w:sz="10" w:color="000000"/>
            </w:tcBorders>
          </w:tcPr>
          <w:p>
            <w:pPr>
              <w:ind w:firstLine="0"/>
              <w:jc w:val="center"/>
            </w:pPr>
            <w:r>
              <w:rPr>
                <w:rFonts w:ascii="Arial" w:hAnsi="Arial"/>
                <w:sz w:val="21"/>
              </w:rPr>
              <w:t>0,773</w:t>
            </w:r>
          </w:p>
        </w:tc>
        <w:tc>
          <w:tcPr>
            <w:tcW w:type="dxa" w:w="3061"/>
            <w:tcBorders>
              <w:bottom w:val="single" w:sz="10" w:color="000000"/>
            </w:tcBorders>
          </w:tcPr>
          <w:p>
            <w:pPr>
              <w:ind w:firstLine="0"/>
              <w:jc w:val="center"/>
            </w:pPr>
            <w:r>
              <w:rPr>
                <w:rFonts w:ascii="Arial" w:hAnsi="Arial"/>
                <w:sz w:val="21"/>
              </w:rPr>
              <w:t>não supervisionado</w:t>
            </w:r>
          </w:p>
        </w:tc>
        <w:tc>
          <w:tcPr>
            <w:tcW w:type="dxa" w:w="1814"/>
            <w:tcBorders>
              <w:bottom w:val="single" w:sz="10" w:color="000000"/>
            </w:tcBorders>
          </w:tcPr>
          <w:p>
            <w:pPr>
              <w:ind w:firstLine="0"/>
              <w:jc w:val="center"/>
            </w:pPr>
            <w:r>
              <w:rPr>
                <w:rFonts w:ascii="Arial" w:hAnsi="Arial"/>
                <w:sz w:val="21"/>
              </w:rPr>
              <w:t>p&lt;0,0001</w:t>
            </w:r>
          </w:p>
        </w:tc>
      </w:tr>
    </w:tbl>
    <w:p>
      <w:pPr>
        <w:spacing w:before="0" w:after="0"/>
        <w:ind w:firstLine="709"/>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w:t>
      </w:r>
    </w:p>
    <w:p>
      <w:pPr>
        <w:pStyle w:val="Heading3"/>
      </w:pPr>
      <w:r>
        <w:t>Calibração ACMG/AMP e o complemento na zona cinzenta</w:t>
      </w:r>
    </w:p>
    <w:p>
      <w:pPr>
        <w:spacing w:before="0" w:after="80"/>
        <w:ind w:firstLine="709"/>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w:t>
      </w:r>
    </w:p>
    <w:p>
      <w:pPr>
        <w:spacing w:before="200"/>
        <w:ind w:firstLine="0"/>
        <w:jc w:val="center"/>
      </w:pPr>
      <w:r>
        <w:drawing>
          <wp:inline xmlns:a="http://schemas.openxmlformats.org/drawingml/2006/main" xmlns:pic="http://schemas.openxmlformats.org/drawingml/2006/picture">
            <wp:extent cx="4572000" cy="1881835"/>
            <wp:docPr id="7" name="Picture 7"/>
            <wp:cNvGraphicFramePr>
              <a:graphicFrameLocks noChangeAspect="1"/>
            </wp:cNvGraphicFramePr>
            <a:graphic>
              <a:graphicData uri="http://schemas.openxmlformats.org/drawingml/2006/picture">
                <pic:pic>
                  <pic:nvPicPr>
                    <pic:cNvPr id="0" name="fig_grey_zone.png"/>
                    <pic:cNvPicPr/>
                  </pic:nvPicPr>
                  <pic:blipFill>
                    <a:blip r:embed="rId15"/>
                    <a:stretch>
                      <a:fillRect/>
                    </a:stretch>
                  </pic:blipFill>
                  <pic:spPr>
                    <a:xfrm>
                      <a:off x="0" y="0"/>
                      <a:ext cx="4572000" cy="1881835"/>
                    </a:xfrm>
                    <a:prstGeom prst="rect"/>
                  </pic:spPr>
                </pic:pic>
              </a:graphicData>
            </a:graphic>
          </wp:inline>
        </w:drawing>
      </w:r>
    </w:p>
    <w:p>
      <w:pPr>
        <w:spacing w:after="240"/>
        <w:ind w:firstLine="0"/>
        <w:jc w:val="center"/>
      </w:pPr>
      <w:r>
        <w:rPr>
          <w:rFonts w:ascii="Arial" w:hAnsi="Arial"/>
          <w:i/>
          <w:sz w:val="20"/>
        </w:rPr>
        <w:t>Figura 7. Complemento ao AlphaMissense — evidência calibrada onde ele se abstém, em BRCA1 e BRCA2, com dados reais do ClinVar.</w:t>
      </w:r>
    </w:p>
    <w:p>
      <w:pPr>
        <w:spacing w:before="200"/>
        <w:ind w:firstLine="0"/>
      </w:pPr>
      <w:r>
        <w:rPr>
          <w:rFonts w:ascii="Arial" w:hAnsi="Arial"/>
          <w:b/>
          <w:sz w:val="22"/>
        </w:rPr>
        <w:t>Tabela 7. Resolução de variantes na zona cinzenta do AlphaMissense.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4252"/>
            <w:tcBorders>
              <w:top w:val="single" w:sz="10" w:color="000000"/>
              <w:bottom w:val="single" w:sz="10" w:color="000000"/>
            </w:tcBorders>
          </w:tcPr>
          <w:p>
            <w:pPr>
              <w:ind w:firstLine="0"/>
              <w:jc w:val="center"/>
            </w:pPr>
            <w:r>
              <w:rPr>
                <w:rFonts w:ascii="Arial" w:hAnsi="Arial"/>
                <w:b/>
                <w:sz w:val="21"/>
              </w:rPr>
              <w:t>Categoria</w:t>
            </w:r>
          </w:p>
        </w:tc>
        <w:tc>
          <w:tcPr>
            <w:tcW w:type="dxa" w:w="1417"/>
            <w:tcBorders>
              <w:top w:val="single" w:sz="10" w:color="000000"/>
              <w:bottom w:val="single" w:sz="10" w:color="000000"/>
            </w:tcBorders>
          </w:tcPr>
          <w:p>
            <w:pPr>
              <w:ind w:firstLine="0"/>
              <w:jc w:val="center"/>
            </w:pPr>
            <w:r>
              <w:rPr>
                <w:rFonts w:ascii="Arial" w:hAnsi="Arial"/>
                <w:b/>
                <w:sz w:val="21"/>
              </w:rPr>
              <w:t>BRCA1</w:t>
            </w:r>
          </w:p>
        </w:tc>
        <w:tc>
          <w:tcPr>
            <w:tcW w:type="dxa" w:w="1417"/>
            <w:tcBorders>
              <w:top w:val="single" w:sz="10" w:color="000000"/>
              <w:bottom w:val="single" w:sz="10" w:color="000000"/>
            </w:tcBorders>
          </w:tcPr>
          <w:p>
            <w:pPr>
              <w:ind w:firstLine="0"/>
              <w:jc w:val="center"/>
            </w:pPr>
            <w:r>
              <w:rPr>
                <w:rFonts w:ascii="Arial" w:hAnsi="Arial"/>
                <w:b/>
                <w:sz w:val="21"/>
              </w:rPr>
              <w:t>BRCA2</w:t>
            </w:r>
          </w:p>
        </w:tc>
        <w:tc>
          <w:tcPr>
            <w:tcW w:type="dxa" w:w="1417"/>
            <w:tcBorders>
              <w:top w:val="single" w:sz="10" w:color="000000"/>
              <w:bottom w:val="single" w:sz="10" w:color="000000"/>
            </w:tcBorders>
          </w:tcPr>
          <w:p>
            <w:pPr>
              <w:ind w:firstLine="0"/>
              <w:jc w:val="center"/>
            </w:pPr>
            <w:r>
              <w:rPr>
                <w:rFonts w:ascii="Arial" w:hAnsi="Arial"/>
                <w:b/>
                <w:sz w:val="21"/>
              </w:rPr>
              <w:t>Combinado</w:t>
            </w:r>
          </w:p>
        </w:tc>
      </w:tr>
      <w:tr>
        <w:trPr>
          <w:cantSplit/>
        </w:trPr>
        <w:tc>
          <w:tcPr>
            <w:tcW w:type="dxa" w:w="4252"/>
          </w:tcPr>
          <w:p>
            <w:pPr>
              <w:ind w:firstLine="0"/>
              <w:jc w:val="left"/>
            </w:pPr>
            <w:r>
              <w:rPr>
                <w:rFonts w:ascii="Arial" w:hAnsi="Arial"/>
                <w:sz w:val="21"/>
              </w:rPr>
              <w:t>VUS na zona cinzenta (n)</w:t>
            </w:r>
          </w:p>
        </w:tc>
        <w:tc>
          <w:tcPr>
            <w:tcW w:type="dxa" w:w="1417"/>
          </w:tcPr>
          <w:p>
            <w:pPr>
              <w:ind w:firstLine="0"/>
              <w:jc w:val="center"/>
            </w:pPr>
            <w:r>
              <w:rPr>
                <w:rFonts w:ascii="Arial" w:hAnsi="Arial"/>
                <w:sz w:val="21"/>
              </w:rPr>
              <w:t>98</w:t>
            </w:r>
          </w:p>
        </w:tc>
        <w:tc>
          <w:tcPr>
            <w:tcW w:type="dxa" w:w="1417"/>
          </w:tcPr>
          <w:p>
            <w:pPr>
              <w:ind w:firstLine="0"/>
              <w:jc w:val="center"/>
            </w:pPr>
            <w:r>
              <w:rPr>
                <w:rFonts w:ascii="Arial" w:hAnsi="Arial"/>
                <w:sz w:val="21"/>
              </w:rPr>
              <w:t>166</w:t>
            </w:r>
          </w:p>
        </w:tc>
        <w:tc>
          <w:tcPr>
            <w:tcW w:type="dxa" w:w="1417"/>
          </w:tcPr>
          <w:p>
            <w:pPr>
              <w:ind w:firstLine="0"/>
              <w:jc w:val="center"/>
            </w:pPr>
            <w:r>
              <w:rPr>
                <w:rFonts w:ascii="Arial" w:hAnsi="Arial"/>
                <w:sz w:val="21"/>
              </w:rPr>
              <w:t>264</w:t>
            </w:r>
          </w:p>
        </w:tc>
      </w:tr>
      <w:tr>
        <w:trPr>
          <w:cantSplit/>
        </w:trPr>
        <w:tc>
          <w:tcPr>
            <w:tcW w:type="dxa" w:w="4252"/>
          </w:tcPr>
          <w:p>
            <w:pPr>
              <w:ind w:firstLine="0"/>
              <w:jc w:val="left"/>
            </w:pPr>
            <w:r>
              <w:rPr>
                <w:rFonts w:ascii="Arial" w:hAnsi="Arial"/>
                <w:sz w:val="21"/>
              </w:rPr>
              <w:t>VUS resolvidas</w:t>
            </w:r>
          </w:p>
        </w:tc>
        <w:tc>
          <w:tcPr>
            <w:tcW w:type="dxa" w:w="1417"/>
          </w:tcPr>
          <w:p>
            <w:pPr>
              <w:ind w:firstLine="0"/>
              <w:jc w:val="center"/>
            </w:pPr>
            <w:r>
              <w:rPr>
                <w:rFonts w:ascii="Arial" w:hAnsi="Arial"/>
                <w:sz w:val="21"/>
              </w:rPr>
              <w:t>56,1%</w:t>
            </w:r>
          </w:p>
        </w:tc>
        <w:tc>
          <w:tcPr>
            <w:tcW w:type="dxa" w:w="1417"/>
          </w:tcPr>
          <w:p>
            <w:pPr>
              <w:ind w:firstLine="0"/>
              <w:jc w:val="center"/>
            </w:pPr>
            <w:r>
              <w:rPr>
                <w:rFonts w:ascii="Arial" w:hAnsi="Arial"/>
                <w:sz w:val="21"/>
              </w:rPr>
              <w:t>52,4%</w:t>
            </w:r>
          </w:p>
        </w:tc>
        <w:tc>
          <w:tcPr>
            <w:tcW w:type="dxa" w:w="1417"/>
          </w:tcPr>
          <w:p>
            <w:pPr>
              <w:ind w:firstLine="0"/>
              <w:jc w:val="center"/>
            </w:pPr>
            <w:r>
              <w:rPr>
                <w:rFonts w:ascii="Arial" w:hAnsi="Arial"/>
                <w:sz w:val="21"/>
              </w:rPr>
              <w:t>53,8%</w:t>
            </w:r>
          </w:p>
        </w:tc>
      </w:tr>
      <w:tr>
        <w:trPr>
          <w:cantSplit/>
        </w:trPr>
        <w:tc>
          <w:tcPr>
            <w:tcW w:type="dxa" w:w="4252"/>
          </w:tcPr>
          <w:p>
            <w:pPr>
              <w:ind w:firstLine="0"/>
              <w:jc w:val="left"/>
            </w:pPr>
            <w:r>
              <w:rPr>
                <w:rFonts w:ascii="Arial" w:hAnsi="Arial"/>
                <w:sz w:val="21"/>
              </w:rPr>
              <w:t>Conflitantes na zona cinzenta (n)</w:t>
            </w:r>
          </w:p>
        </w:tc>
        <w:tc>
          <w:tcPr>
            <w:tcW w:type="dxa" w:w="1417"/>
          </w:tcPr>
          <w:p>
            <w:pPr>
              <w:ind w:firstLine="0"/>
              <w:jc w:val="center"/>
            </w:pPr>
            <w:r>
              <w:rPr>
                <w:rFonts w:ascii="Arial" w:hAnsi="Arial"/>
                <w:sz w:val="21"/>
              </w:rPr>
              <w:t>64</w:t>
            </w:r>
          </w:p>
        </w:tc>
        <w:tc>
          <w:tcPr>
            <w:tcW w:type="dxa" w:w="1417"/>
          </w:tcPr>
          <w:p>
            <w:pPr>
              <w:ind w:firstLine="0"/>
              <w:jc w:val="center"/>
            </w:pPr>
            <w:r>
              <w:rPr>
                <w:rFonts w:ascii="Arial" w:hAnsi="Arial"/>
                <w:sz w:val="21"/>
              </w:rPr>
              <w:t>128</w:t>
            </w:r>
          </w:p>
        </w:tc>
        <w:tc>
          <w:tcPr>
            <w:tcW w:type="dxa" w:w="1417"/>
          </w:tcPr>
          <w:p>
            <w:pPr>
              <w:ind w:firstLine="0"/>
              <w:jc w:val="center"/>
            </w:pPr>
            <w:r>
              <w:rPr>
                <w:rFonts w:ascii="Arial" w:hAnsi="Arial"/>
                <w:sz w:val="21"/>
              </w:rPr>
              <w:t>192</w:t>
            </w:r>
          </w:p>
        </w:tc>
      </w:tr>
      <w:tr>
        <w:trPr>
          <w:cantSplit/>
        </w:trPr>
        <w:tc>
          <w:tcPr>
            <w:tcW w:type="dxa" w:w="4252"/>
            <w:tcBorders>
              <w:bottom w:val="single" w:sz="10" w:color="000000"/>
            </w:tcBorders>
          </w:tcPr>
          <w:p>
            <w:pPr>
              <w:ind w:firstLine="0"/>
              <w:jc w:val="left"/>
            </w:pPr>
            <w:r>
              <w:rPr>
                <w:rFonts w:ascii="Arial" w:hAnsi="Arial"/>
                <w:sz w:val="21"/>
              </w:rPr>
              <w:t>Conflitantes resolvidas</w:t>
            </w:r>
          </w:p>
        </w:tc>
        <w:tc>
          <w:tcPr>
            <w:tcW w:type="dxa" w:w="1417"/>
            <w:tcBorders>
              <w:bottom w:val="single" w:sz="10" w:color="000000"/>
            </w:tcBorders>
          </w:tcPr>
          <w:p>
            <w:pPr>
              <w:ind w:firstLine="0"/>
              <w:jc w:val="center"/>
            </w:pPr>
            <w:r>
              <w:rPr>
                <w:rFonts w:ascii="Arial" w:hAnsi="Arial"/>
                <w:sz w:val="21"/>
              </w:rPr>
              <w:t>76,6%</w:t>
            </w:r>
          </w:p>
        </w:tc>
        <w:tc>
          <w:tcPr>
            <w:tcW w:type="dxa" w:w="1417"/>
            <w:tcBorders>
              <w:bottom w:val="single" w:sz="10" w:color="000000"/>
            </w:tcBorders>
          </w:tcPr>
          <w:p>
            <w:pPr>
              <w:ind w:firstLine="0"/>
              <w:jc w:val="center"/>
            </w:pPr>
            <w:r>
              <w:rPr>
                <w:rFonts w:ascii="Arial" w:hAnsi="Arial"/>
                <w:sz w:val="21"/>
              </w:rPr>
              <w:t>58,6%</w:t>
            </w:r>
          </w:p>
        </w:tc>
        <w:tc>
          <w:tcPr>
            <w:tcW w:type="dxa" w:w="1417"/>
            <w:tcBorders>
              <w:bottom w:val="single" w:sz="10" w:color="000000"/>
            </w:tcBorders>
          </w:tcPr>
          <w:p>
            <w:pPr>
              <w:ind w:firstLine="0"/>
              <w:jc w:val="center"/>
            </w:pPr>
            <w:r>
              <w:rPr>
                <w:rFonts w:ascii="Arial" w:hAnsi="Arial"/>
                <w:sz w:val="21"/>
              </w:rPr>
              <w:t>64,6%</w:t>
            </w:r>
          </w:p>
        </w:tc>
      </w:tr>
    </w:tbl>
    <w:p>
      <w:pPr>
        <w:pStyle w:val="Heading3"/>
      </w:pPr>
      <w:r>
        <w:t>Mecanismo, equidade e validação temporal</w:t>
      </w:r>
    </w:p>
    <w:p>
      <w:pPr>
        <w:spacing w:before="0" w:after="80"/>
        <w:ind w:firstLine="709"/>
      </w:pPr>
      <w:r>
        <w:rPr>
          <w:rFonts w:ascii="Arial" w:hAnsi="Arial"/>
          <w:b w:val="0"/>
          <w:i w:val="0"/>
          <w:sz w:val="24"/>
        </w:rPr>
        <w:t>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por deep mutational scanning, independente do ClinVar: no mesmo ensaio de recombinação homóloga, a probabilidade separa variantes com e sem perda de função com AUC de 0,712 em 2.749 variantes. Trata-se de uma validação ortogonal contra fenótipo molecular medido em bancada, e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pPr>
        <w:spacing w:before="200"/>
        <w:ind w:firstLine="0"/>
        <w:jc w:val="center"/>
      </w:pPr>
      <w:r>
        <w:drawing>
          <wp:inline xmlns:a="http://schemas.openxmlformats.org/drawingml/2006/main" xmlns:pic="http://schemas.openxmlformats.org/drawingml/2006/picture">
            <wp:extent cx="4846320" cy="2705160"/>
            <wp:docPr id="8" name="Picture 8"/>
            <wp:cNvGraphicFramePr>
              <a:graphicFrameLocks noChangeAspect="1"/>
            </wp:cNvGraphicFramePr>
            <a:graphic>
              <a:graphicData uri="http://schemas.openxmlformats.org/drawingml/2006/picture">
                <pic:pic>
                  <pic:nvPicPr>
                    <pic:cNvPr id="0" name="fig_mechanism_vs_function.png"/>
                    <pic:cNvPicPr/>
                  </pic:nvPicPr>
                  <pic:blipFill>
                    <a:blip r:embed="rId16"/>
                    <a:stretch>
                      <a:fillRect/>
                    </a:stretch>
                  </pic:blipFill>
                  <pic:spPr>
                    <a:xfrm>
                      <a:off x="0" y="0"/>
                      <a:ext cx="4846320" cy="2705160"/>
                    </a:xfrm>
                    <a:prstGeom prst="rect"/>
                  </pic:spPr>
                </pic:pic>
              </a:graphicData>
            </a:graphic>
          </wp:inline>
        </w:drawing>
      </w:r>
    </w:p>
    <w:p>
      <w:pPr>
        <w:spacing w:after="240"/>
        <w:ind w:firstLine="0"/>
        <w:jc w:val="center"/>
      </w:pPr>
      <w:r>
        <w:rPr>
          <w:rFonts w:ascii="Arial" w:hAnsi="Arial"/>
          <w:i/>
          <w:sz w:val="20"/>
        </w:rPr>
        <w:t>Figura 8.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w:t>
      </w:r>
    </w:p>
    <w:p>
      <w:pPr>
        <w:spacing w:before="200"/>
        <w:ind w:firstLine="0"/>
        <w:jc w:val="center"/>
      </w:pPr>
      <w:r>
        <w:drawing>
          <wp:inline xmlns:a="http://schemas.openxmlformats.org/drawingml/2006/main" xmlns:pic="http://schemas.openxmlformats.org/drawingml/2006/picture">
            <wp:extent cx="4206240" cy="1760155"/>
            <wp:docPr id="9" name="Picture 9"/>
            <wp:cNvGraphicFramePr>
              <a:graphicFrameLocks noChangeAspect="1"/>
            </wp:cNvGraphicFramePr>
            <a:graphic>
              <a:graphicData uri="http://schemas.openxmlformats.org/drawingml/2006/picture">
                <pic:pic>
                  <pic:nvPicPr>
                    <pic:cNvPr id="0" name="fig_equity.png"/>
                    <pic:cNvPicPr/>
                  </pic:nvPicPr>
                  <pic:blipFill>
                    <a:blip r:embed="rId17"/>
                    <a:stretch>
                      <a:fillRect/>
                    </a:stretch>
                  </pic:blipFill>
                  <pic:spPr>
                    <a:xfrm>
                      <a:off x="0" y="0"/>
                      <a:ext cx="4206240" cy="1760155"/>
                    </a:xfrm>
                    <a:prstGeom prst="rect"/>
                  </pic:spPr>
                </pic:pic>
              </a:graphicData>
            </a:graphic>
          </wp:inline>
        </w:drawing>
      </w:r>
    </w:p>
    <w:p>
      <w:pPr>
        <w:spacing w:after="240"/>
        <w:ind w:firstLine="0"/>
        <w:jc w:val="center"/>
      </w:pPr>
      <w:r>
        <w:rPr>
          <w:rFonts w:ascii="Arial" w:hAnsi="Arial"/>
          <w:i/>
          <w:sz w:val="20"/>
        </w:rPr>
        <w:t>Figura 9. Lacuna de resolução clínica entre ancestralidades (gnomAD) e a contribuição do modelo para reduzi-la equitativamente.</w:t>
      </w:r>
    </w:p>
    <w:p>
      <w:pPr>
        <w:spacing w:before="200"/>
        <w:ind w:firstLine="0"/>
      </w:pPr>
      <w:r>
        <w:rPr>
          <w:rFonts w:ascii="Arial" w:hAnsi="Arial"/>
          <w:b/>
          <w:sz w:val="22"/>
        </w:rPr>
        <w:t>Tabela 8. Validação temporal (quasi-prospectiva) por ano de corte.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417"/>
            <w:tcBorders>
              <w:top w:val="single" w:sz="10" w:color="000000"/>
              <w:bottom w:val="single" w:sz="10" w:color="000000"/>
            </w:tcBorders>
          </w:tcPr>
          <w:p>
            <w:pPr>
              <w:ind w:firstLine="0"/>
              <w:jc w:val="center"/>
            </w:pPr>
            <w:r>
              <w:rPr>
                <w:rFonts w:ascii="Arial" w:hAnsi="Arial"/>
                <w:b/>
                <w:sz w:val="21"/>
              </w:rPr>
              <w:t>Corte</w:t>
            </w:r>
          </w:p>
        </w:tc>
        <w:tc>
          <w:tcPr>
            <w:tcW w:type="dxa" w:w="1984"/>
            <w:tcBorders>
              <w:top w:val="single" w:sz="10" w:color="000000"/>
              <w:bottom w:val="single" w:sz="10" w:color="000000"/>
            </w:tcBorders>
          </w:tcPr>
          <w:p>
            <w:pPr>
              <w:ind w:firstLine="0"/>
              <w:jc w:val="center"/>
            </w:pPr>
            <w:r>
              <w:rPr>
                <w:rFonts w:ascii="Arial" w:hAnsi="Arial"/>
                <w:b/>
                <w:sz w:val="21"/>
              </w:rPr>
              <w:t>Treino (n)</w:t>
            </w:r>
          </w:p>
        </w:tc>
        <w:tc>
          <w:tcPr>
            <w:tcW w:type="dxa" w:w="2268"/>
            <w:tcBorders>
              <w:top w:val="single" w:sz="10" w:color="000000"/>
              <w:bottom w:val="single" w:sz="10" w:color="000000"/>
            </w:tcBorders>
          </w:tcPr>
          <w:p>
            <w:pPr>
              <w:ind w:firstLine="0"/>
              <w:jc w:val="center"/>
            </w:pPr>
            <w:r>
              <w:rPr>
                <w:rFonts w:ascii="Arial" w:hAnsi="Arial"/>
                <w:b/>
                <w:sz w:val="21"/>
              </w:rPr>
              <w:t>Teste futuro (n)</w:t>
            </w:r>
          </w:p>
        </w:tc>
        <w:tc>
          <w:tcPr>
            <w:tcW w:type="dxa" w:w="1701"/>
            <w:tcBorders>
              <w:top w:val="single" w:sz="10" w:color="000000"/>
              <w:bottom w:val="single" w:sz="10" w:color="000000"/>
            </w:tcBorders>
          </w:tcPr>
          <w:p>
            <w:pPr>
              <w:ind w:firstLine="0"/>
              <w:jc w:val="center"/>
            </w:pPr>
            <w:r>
              <w:rPr>
                <w:rFonts w:ascii="Arial" w:hAnsi="Arial"/>
                <w:b/>
                <w:sz w:val="21"/>
              </w:rPr>
              <w:t>AUC futura</w:t>
            </w:r>
          </w:p>
        </w:tc>
      </w:tr>
      <w:tr>
        <w:trPr>
          <w:cantSplit/>
        </w:trPr>
        <w:tc>
          <w:tcPr>
            <w:tcW w:type="dxa" w:w="1417"/>
          </w:tcPr>
          <w:p>
            <w:pPr>
              <w:ind w:firstLine="0"/>
              <w:jc w:val="left"/>
            </w:pPr>
            <w:r>
              <w:rPr>
                <w:rFonts w:ascii="Arial" w:hAnsi="Arial"/>
                <w:sz w:val="21"/>
              </w:rPr>
              <w:t>2016</w:t>
            </w:r>
          </w:p>
        </w:tc>
        <w:tc>
          <w:tcPr>
            <w:tcW w:type="dxa" w:w="1984"/>
          </w:tcPr>
          <w:p>
            <w:pPr>
              <w:ind w:firstLine="0"/>
              <w:jc w:val="center"/>
            </w:pPr>
            <w:r>
              <w:rPr>
                <w:rFonts w:ascii="Arial" w:hAnsi="Arial"/>
                <w:sz w:val="21"/>
              </w:rPr>
              <w:t>176</w:t>
            </w:r>
          </w:p>
        </w:tc>
        <w:tc>
          <w:tcPr>
            <w:tcW w:type="dxa" w:w="2268"/>
          </w:tcPr>
          <w:p>
            <w:pPr>
              <w:ind w:firstLine="0"/>
              <w:jc w:val="center"/>
            </w:pPr>
            <w:r>
              <w:rPr>
                <w:rFonts w:ascii="Arial" w:hAnsi="Arial"/>
                <w:sz w:val="21"/>
              </w:rPr>
              <w:t>323</w:t>
            </w:r>
          </w:p>
        </w:tc>
        <w:tc>
          <w:tcPr>
            <w:tcW w:type="dxa" w:w="1701"/>
          </w:tcPr>
          <w:p>
            <w:pPr>
              <w:ind w:firstLine="0"/>
              <w:jc w:val="center"/>
            </w:pPr>
            <w:r>
              <w:rPr>
                <w:rFonts w:ascii="Arial" w:hAnsi="Arial"/>
                <w:sz w:val="21"/>
              </w:rPr>
              <w:t>0,892</w:t>
            </w:r>
          </w:p>
        </w:tc>
      </w:tr>
      <w:tr>
        <w:trPr>
          <w:cantSplit/>
        </w:trPr>
        <w:tc>
          <w:tcPr>
            <w:tcW w:type="dxa" w:w="1417"/>
          </w:tcPr>
          <w:p>
            <w:pPr>
              <w:ind w:firstLine="0"/>
              <w:jc w:val="left"/>
            </w:pPr>
            <w:r>
              <w:rPr>
                <w:rFonts w:ascii="Arial" w:hAnsi="Arial"/>
                <w:sz w:val="21"/>
              </w:rPr>
              <w:t>2019</w:t>
            </w:r>
          </w:p>
        </w:tc>
        <w:tc>
          <w:tcPr>
            <w:tcW w:type="dxa" w:w="1984"/>
          </w:tcPr>
          <w:p>
            <w:pPr>
              <w:ind w:firstLine="0"/>
              <w:jc w:val="center"/>
            </w:pPr>
            <w:r>
              <w:rPr>
                <w:rFonts w:ascii="Arial" w:hAnsi="Arial"/>
                <w:sz w:val="21"/>
              </w:rPr>
              <w:t>279</w:t>
            </w:r>
          </w:p>
        </w:tc>
        <w:tc>
          <w:tcPr>
            <w:tcW w:type="dxa" w:w="2268"/>
          </w:tcPr>
          <w:p>
            <w:pPr>
              <w:ind w:firstLine="0"/>
              <w:jc w:val="center"/>
            </w:pPr>
            <w:r>
              <w:rPr>
                <w:rFonts w:ascii="Arial" w:hAnsi="Arial"/>
                <w:sz w:val="21"/>
              </w:rPr>
              <w:t>220</w:t>
            </w:r>
          </w:p>
        </w:tc>
        <w:tc>
          <w:tcPr>
            <w:tcW w:type="dxa" w:w="1701"/>
          </w:tcPr>
          <w:p>
            <w:pPr>
              <w:ind w:firstLine="0"/>
              <w:jc w:val="center"/>
            </w:pPr>
            <w:r>
              <w:rPr>
                <w:rFonts w:ascii="Arial" w:hAnsi="Arial"/>
                <w:sz w:val="21"/>
              </w:rPr>
              <w:t>0,926</w:t>
            </w:r>
          </w:p>
        </w:tc>
      </w:tr>
      <w:tr>
        <w:trPr>
          <w:cantSplit/>
        </w:trPr>
        <w:tc>
          <w:tcPr>
            <w:tcW w:type="dxa" w:w="1417"/>
            <w:tcBorders>
              <w:bottom w:val="single" w:sz="10" w:color="000000"/>
            </w:tcBorders>
          </w:tcPr>
          <w:p>
            <w:pPr>
              <w:ind w:firstLine="0"/>
              <w:jc w:val="left"/>
            </w:pPr>
            <w:r>
              <w:rPr>
                <w:rFonts w:ascii="Arial" w:hAnsi="Arial"/>
                <w:sz w:val="21"/>
              </w:rPr>
              <w:t>2021</w:t>
            </w:r>
          </w:p>
        </w:tc>
        <w:tc>
          <w:tcPr>
            <w:tcW w:type="dxa" w:w="1984"/>
            <w:tcBorders>
              <w:bottom w:val="single" w:sz="10" w:color="000000"/>
            </w:tcBorders>
          </w:tcPr>
          <w:p>
            <w:pPr>
              <w:ind w:firstLine="0"/>
              <w:jc w:val="center"/>
            </w:pPr>
            <w:r>
              <w:rPr>
                <w:rFonts w:ascii="Arial" w:hAnsi="Arial"/>
                <w:sz w:val="21"/>
              </w:rPr>
              <w:t>286</w:t>
            </w:r>
          </w:p>
        </w:tc>
        <w:tc>
          <w:tcPr>
            <w:tcW w:type="dxa" w:w="2268"/>
            <w:tcBorders>
              <w:bottom w:val="single" w:sz="10" w:color="000000"/>
            </w:tcBorders>
          </w:tcPr>
          <w:p>
            <w:pPr>
              <w:ind w:firstLine="0"/>
              <w:jc w:val="center"/>
            </w:pPr>
            <w:r>
              <w:rPr>
                <w:rFonts w:ascii="Arial" w:hAnsi="Arial"/>
                <w:sz w:val="21"/>
              </w:rPr>
              <w:t>213</w:t>
            </w:r>
          </w:p>
        </w:tc>
        <w:tc>
          <w:tcPr>
            <w:tcW w:type="dxa" w:w="1701"/>
            <w:tcBorders>
              <w:bottom w:val="single" w:sz="10" w:color="000000"/>
            </w:tcBorders>
          </w:tcPr>
          <w:p>
            <w:pPr>
              <w:ind w:firstLine="0"/>
              <w:jc w:val="center"/>
            </w:pPr>
            <w:r>
              <w:rPr>
                <w:rFonts w:ascii="Arial" w:hAnsi="Arial"/>
                <w:sz w:val="21"/>
              </w:rPr>
              <w:t>0,932</w:t>
            </w:r>
          </w:p>
        </w:tc>
      </w:tr>
    </w:tbl>
    <w:p>
      <w:pPr>
        <w:pStyle w:val="Heading3"/>
      </w:pPr>
      <w:r>
        <w:t>Aprendizado contínuo e seguro</w:t>
      </w:r>
    </w:p>
    <w:p>
      <w:pPr>
        <w:spacing w:before="0" w:after="80"/>
        <w:ind w:firstLine="709"/>
      </w:pPr>
      <w:r>
        <w:rPr>
          <w:rFonts w:ascii="Arial" w:hAnsi="Arial"/>
          <w:b w:val="0"/>
          <w:i w:val="0"/>
          <w:sz w:val="24"/>
        </w:rPr>
        <w:t>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pPr>
        <w:spacing w:before="200"/>
        <w:ind w:firstLine="0"/>
        <w:jc w:val="center"/>
      </w:pPr>
      <w:r>
        <w:drawing>
          <wp:inline xmlns:a="http://schemas.openxmlformats.org/drawingml/2006/main" xmlns:pic="http://schemas.openxmlformats.org/drawingml/2006/picture">
            <wp:extent cx="4572000" cy="1863701"/>
            <wp:docPr id="10" name="Picture 10"/>
            <wp:cNvGraphicFramePr>
              <a:graphicFrameLocks noChangeAspect="1"/>
            </wp:cNvGraphicFramePr>
            <a:graphic>
              <a:graphicData uri="http://schemas.openxmlformats.org/drawingml/2006/picture">
                <pic:pic>
                  <pic:nvPicPr>
                    <pic:cNvPr id="0" name="fig_continual_learning.png"/>
                    <pic:cNvPicPr/>
                  </pic:nvPicPr>
                  <pic:blipFill>
                    <a:blip r:embed="rId18"/>
                    <a:stretch>
                      <a:fillRect/>
                    </a:stretch>
                  </pic:blipFill>
                  <pic:spPr>
                    <a:xfrm>
                      <a:off x="0" y="0"/>
                      <a:ext cx="4572000" cy="1863701"/>
                    </a:xfrm>
                    <a:prstGeom prst="rect"/>
                  </pic:spPr>
                </pic:pic>
              </a:graphicData>
            </a:graphic>
          </wp:inline>
        </w:drawing>
      </w:r>
    </w:p>
    <w:p>
      <w:pPr>
        <w:spacing w:after="240"/>
        <w:ind w:firstLine="0"/>
        <w:jc w:val="center"/>
      </w:pPr>
      <w:r>
        <w:rPr>
          <w:rFonts w:ascii="Arial" w:hAnsi="Arial"/>
          <w:i/>
          <w:sz w:val="20"/>
        </w:rPr>
        <w:t>Figura 10. Aprendizado contínuo e seguro. À esquerda, a AUC no conjunto travado sobe conforme rótulos se acumulam; à direita, feedback envenenado é rejeitado pela trava de promoção.</w:t>
      </w:r>
    </w:p>
    <w:p>
      <w:pPr>
        <w:pStyle w:val="Heading3"/>
      </w:pPr>
      <w:r>
        <w:t>Validação prospectiva, generalização e utilidade clínica</w:t>
      </w:r>
    </w:p>
    <w:p>
      <w:pPr>
        <w:spacing w:before="0" w:after="80"/>
        <w:ind w:firstLine="709"/>
      </w:pPr>
      <w:r>
        <w:rPr>
          <w:rFonts w:ascii="Arial" w:hAnsi="Arial"/>
          <w:b w:val="0"/>
          <w:i w:val="0"/>
          <w:sz w:val="24"/>
        </w:rPr>
        <w:t>Cinco análises adicionais foram conduzidas para blindar as conclusões (Tabela 9). A mais decisiva é uma validação genuinamente prospectiva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(amostra pequena, 15 positivos; corroboração direta, não prova).</w:t>
      </w:r>
    </w:p>
    <w:p>
      <w:pPr>
        <w:spacing w:before="200"/>
        <w:ind w:firstLine="0"/>
        <w:jc w:val="center"/>
      </w:pPr>
      <w:r>
        <w:drawing>
          <wp:inline xmlns:a="http://schemas.openxmlformats.org/drawingml/2006/main" xmlns:pic="http://schemas.openxmlformats.org/drawingml/2006/picture">
            <wp:extent cx="4754880" cy="1957109"/>
            <wp:docPr id="11" name="Picture 11"/>
            <wp:cNvGraphicFramePr>
              <a:graphicFrameLocks noChangeAspect="1"/>
            </wp:cNvGraphicFramePr>
            <a:graphic>
              <a:graphicData uri="http://schemas.openxmlformats.org/drawingml/2006/picture">
                <pic:pic>
                  <pic:nvPicPr>
                    <pic:cNvPr id="0" name="fig_prospective.png"/>
                    <pic:cNvPicPr/>
                  </pic:nvPicPr>
                  <pic:blipFill>
                    <a:blip r:embed="rId19"/>
                    <a:stretch>
                      <a:fillRect/>
                    </a:stretch>
                  </pic:blipFill>
                  <pic:spPr>
                    <a:xfrm>
                      <a:off x="0" y="0"/>
                      <a:ext cx="4754880" cy="1957109"/>
                    </a:xfrm>
                    <a:prstGeom prst="rect"/>
                  </pic:spPr>
                </pic:pic>
              </a:graphicData>
            </a:graphic>
          </wp:inline>
        </w:drawing>
      </w:r>
    </w:p>
    <w:p>
      <w:pPr>
        <w:spacing w:after="240"/>
        <w:ind w:firstLine="0"/>
        <w:jc w:val="center"/>
      </w:pPr>
      <w:r>
        <w:rPr>
          <w:rFonts w:ascii="Arial" w:hAnsi="Arial"/>
          <w:i/>
          <w:sz w:val="20"/>
        </w:rPr>
        <w:t>Figura 11.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w:t>
      </w:r>
    </w:p>
    <w:p>
      <w:pPr>
        <w:spacing w:before="0" w:after="120"/>
        <w:ind w:firstLine="709"/>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delimitada com honestidade — em genes de patogenicidade truncante (PALB2, CHEK2) ou difusa (ATM), o sinal missense-domínio é fraco; num serviço público de oncogenética de Minas Gerais, as VUS de uma coorte de 210 pacientes do SUS concentraram-se justamente no ATM (7/35; RIBEIRO et al., 2025) — o gene onde o próprio método reconhece seu limite, e onde uma triagem calibrada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 instrumento de que carecem os serviços públicos num país onde 71,5% dependem exclusivamente do SUS (RIBEIRO et al., 2025). As figuras destas análises estão no Material Suplementar.</w:t>
      </w:r>
    </w:p>
    <w:p>
      <w:pPr>
        <w:pStyle w:val="Heading3"/>
      </w:pPr>
      <w:r>
        <w:t>Discussão: honestidade metodológica como contribuição, e complemento em vez de concorrência</w:t>
      </w:r>
    </w:p>
    <w:p>
      <w:pPr>
        <w:spacing w:before="0" w:after="0"/>
        <w:ind w:firstLine="709"/>
      </w:pPr>
      <w:r>
        <w:rPr>
          <w:rFonts w:ascii="Arial" w:hAnsi="Arial"/>
          <w:b w:val="0"/>
          <w:i w:val="0"/>
          <w:sz w:val="24"/>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reprodutível e auditável, e cada uma é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optou-se por não competir com o AlphaMissense no AUC bruto — comparação estruturalmente injusta contra o modelo proposto —, e sim por demonstrar o que realmente importa: evidência calibrada exatamente onde ele se abstém. Um laboratório clínico não precisa escolher entre as duas ferramentas; precisa das duas.</w:t>
      </w:r>
    </w:p>
    <w:p>
      <w:pPr>
        <w:pStyle w:val="Heading3"/>
      </w:pPr>
      <w:r>
        <w:t>Limitações e trabalhos futuros</w:t>
      </w:r>
    </w:p>
    <w:p>
      <w:pPr>
        <w:spacing w:before="0" w:after="0"/>
        <w:ind w:firstLine="709"/>
      </w:pPr>
      <w:r>
        <w:rPr>
          <w:rFonts w:ascii="Arial" w:hAnsi="Arial"/>
          <w:b w:val="0"/>
          <w:i w:val="0"/>
          <w:sz w:val="24"/>
        </w:rPr>
        <w:t>A validação concentrou-se em BRCA1/BRCA2; as fronteiras de domínio são aproximações da literatura; a generalização, embora atinja 0,95–0,97 nas coortes de painel especialista, é heterogênea entre coortes, em parte por diferenças de qualidade de rotulagem e por baixos números de positivos nas coortes externas de baixa prevalência; o recorte temporal não isola o vazamento de forma limpa; e a validação funcional apoiou-se na convergência retrospectiva com ensaios de deep mutational scanning publicados — validação ortogonal contra função medida (Starita HDR, AUC 0,712), não em novo experimento de bancada conduzido no âmbito deste trabalho. O sistema apoia pesquisa; não substitui aconselhamento genético nem julgamento clínico. Como trabalhos futuros, pretende-se consolidar a generalização — já demonstrada no TP53 — a mais genes do painel HBOC com coortes maiores, ampliar as coortes externas para caracterizar os limites de aplicabilidade, acompanhar em produção o módulo de aprendizado contínuo com laboratórios parceiros, e explorar modelos de linguagem de proteínas com plataformas automatizadas de evolução dirigida (ZHANG et al., 2025) como fonte futura de rótulos funcionais.</w:t>
      </w:r>
    </w:p>
    <w:p>
      <w:pPr>
        <w:pStyle w:val="Heading3"/>
      </w:pPr>
      <w:r>
        <w:t>Impacto social, aplicação prática e ética no uso de IA</w:t>
      </w:r>
    </w:p>
    <w:p>
      <w:pPr>
        <w:spacing w:before="0" w:after="0"/>
        <w:ind w:firstLine="709"/>
      </w:pPr>
      <w:r>
        <w:rPr>
          <w:rFonts w:ascii="Arial" w:hAnsi="Arial"/>
          <w:b w:val="0"/>
          <w:i w:val="0"/>
          <w:sz w:val="24"/>
        </w:rPr>
        <w:t>O acesso à interpretação genética é desigual no Brasil (ACHATZ et al., 2020; PALMERO et al., 2007; FERNANDES et al., 2019; LASTA; GROTO; BRANDALIZE, 2023; RIBEIRO et al., 2025; NORONHA et al., 2026). O PrimeVarClass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p>
    <w:p>
      <w:r>
        <w:br w:type="page"/>
      </w:r>
    </w:p>
    <w:p>
      <w:pPr>
        <w:pStyle w:val="Heading1"/>
      </w:pPr>
      <w:r>
        <w:t>CONCLUSÃO</w:t>
      </w:r>
    </w:p>
    <w:p>
      <w:pPr>
        <w:spacing w:before="0" w:after="0"/>
        <w:ind w:firstLine="709"/>
      </w:pPr>
      <w:r>
        <w:rPr>
          <w:rFonts w:ascii="Arial" w:hAnsi="Arial"/>
          <w:b w:val="0"/>
          <w:i w:val="0"/>
          <w:sz w:val="24"/>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p>
    <w:p>
      <w:r>
        <w:br w:type="page"/>
      </w:r>
    </w:p>
    <w:p>
      <w:pPr>
        <w:pStyle w:val="Heading1"/>
      </w:pPr>
      <w:r>
        <w:t>REFERÊNCIAS</w:t>
      </w:r>
    </w:p>
    <w:p>
      <w:pPr>
        <w:spacing w:after="40" w:line="240" w:lineRule="auto"/>
        <w:ind w:firstLine="0"/>
        <w:jc w:val="both"/>
      </w:pPr>
      <w:r>
        <w:rPr>
          <w:rFonts w:ascii="Arial" w:hAnsi="Arial"/>
          <w:sz w:val="20"/>
        </w:rPr>
        <w:t>ACHATZ, M. I. et al. Recommendations for Advancing the Diagnosis and Management of Hereditary Breast and Ovarian Cancer in Brazil. JCO Glob Oncol, v. 6, p. 439-452, 2020. DOI: 10.1200/JGO.19.00170.</w:t>
      </w:r>
    </w:p>
    <w:p>
      <w:pPr>
        <w:spacing w:after="40" w:line="240" w:lineRule="auto"/>
        <w:ind w:firstLine="0"/>
        <w:jc w:val="both"/>
      </w:pPr>
      <w:r>
        <w:rPr>
          <w:rFonts w:ascii="Arial" w:hAnsi="Arial"/>
          <w:sz w:val="20"/>
        </w:rPr>
        <w:t>CHAO, K. R. et al. The landscape of regional missense mutational intolerance quantified from 125,748 exomes. bioRxiv, 2024. DOI: 10.1101/2024.04.11.588920.</w:t>
      </w:r>
    </w:p>
    <w:p>
      <w:pPr>
        <w:spacing w:after="40" w:line="240" w:lineRule="auto"/>
        <w:ind w:firstLine="0"/>
        <w:jc w:val="both"/>
      </w:pPr>
      <w:r>
        <w:rPr>
          <w:rFonts w:ascii="Arial" w:hAnsi="Arial"/>
          <w:sz w:val="20"/>
        </w:rPr>
        <w:t>CHEN, S. et al. A genomic mutational constraint map using variation in 76,156 human genomes. Nature, v. 625, n. 7993, p. 92-100, 2023. DOI: 10.1038/s41586-023-06045-0.</w:t>
      </w:r>
    </w:p>
    <w:p>
      <w:pPr>
        <w:spacing w:after="40" w:line="240" w:lineRule="auto"/>
        <w:ind w:firstLine="0"/>
        <w:jc w:val="both"/>
      </w:pPr>
      <w:r>
        <w:rPr>
          <w:rFonts w:ascii="Arial" w:hAnsi="Arial"/>
          <w:sz w:val="20"/>
        </w:rPr>
        <w:t>CHENG, J. et al. Accurate proteome-wide missense variant effect prediction with AlphaMissense. Science, v. 381, n. 6664, p. eadg7492, 2023. DOI: 10.1126/science.adg7492.</w:t>
      </w:r>
    </w:p>
    <w:p>
      <w:pPr>
        <w:spacing w:after="40" w:line="240" w:lineRule="auto"/>
        <w:ind w:firstLine="0"/>
        <w:jc w:val="both"/>
      </w:pPr>
      <w:r>
        <w:rPr>
          <w:rFonts w:ascii="Arial" w:hAnsi="Arial"/>
          <w:sz w:val="20"/>
        </w:rPr>
        <w:t>DELONG, E. R.; DELONG, D. M.; CLARKE-PEARSON, D. L. Comparing the areas under two or more correlated receiver operating characteristic curves: a nonparametric approach. Biometrics, v. 44, n. 3, p. 837-845, 1988.</w:t>
      </w:r>
    </w:p>
    <w:p>
      <w:pPr>
        <w:spacing w:after="40" w:line="240" w:lineRule="auto"/>
        <w:ind w:firstLine="0"/>
        <w:jc w:val="both"/>
      </w:pPr>
      <w:r>
        <w:rPr>
          <w:rFonts w:ascii="Arial" w:hAnsi="Arial"/>
          <w:sz w:val="20"/>
        </w:rPr>
        <w:t>DINES, J. N. et al. Systematic misclassification of missense variants in BRCA1 and BRCA2 "coldspots". Genet Med, v. 22, n. 5, p. 825-830, 2020. DOI: 10.1038/s41436-019-0740-6.</w:t>
      </w:r>
    </w:p>
    <w:p>
      <w:pPr>
        <w:spacing w:after="40" w:line="240" w:lineRule="auto"/>
        <w:ind w:firstLine="0"/>
        <w:jc w:val="both"/>
      </w:pPr>
      <w:r>
        <w:rPr>
          <w:rFonts w:ascii="Arial" w:hAnsi="Arial"/>
          <w:sz w:val="20"/>
        </w:rPr>
        <w:t>DONG, C. et al. Comparison and integration of deleteriousness prediction methods for nonsynonymous SNVs in whole exome sequencing studies. Hum Mol Genet, v. 24, n. 8, p. 2125-37, 2014. DOI: 10.1093/hmg/ddu733.</w:t>
      </w:r>
    </w:p>
    <w:p>
      <w:pPr>
        <w:spacing w:after="40" w:line="240" w:lineRule="auto"/>
        <w:ind w:firstLine="0"/>
        <w:jc w:val="both"/>
      </w:pPr>
      <w:r>
        <w:rPr>
          <w:rFonts w:ascii="Arial" w:hAnsi="Arial"/>
          <w:sz w:val="20"/>
        </w:rPr>
        <w:t>FAVALLI, V. et al. Machine learning-based reclassification of germline variants of unknown significance: The RENOVO algorithm. Am J Hum Genet, v. 108, n. 4, p. 682-695, 2021. DOI: 10.1016/j.ajhg.2021.03.010.</w:t>
      </w:r>
    </w:p>
    <w:p>
      <w:pPr>
        <w:spacing w:after="40" w:line="240" w:lineRule="auto"/>
        <w:ind w:firstLine="0"/>
        <w:jc w:val="both"/>
      </w:pPr>
      <w:r>
        <w:rPr>
          <w:rFonts w:ascii="Arial" w:hAnsi="Arial"/>
          <w:sz w:val="20"/>
        </w:rPr>
        <w:t>FERNANDES, G. C. et al. Differential Profile of BRCA1 vs. BRCA2 Mutated Families: A Characterization of the Main Differences and Similarities in Patients. Asian Pac J Cancer Prev, v. 20, n. 6, p. 1655-1660, 2019. DOI: 10.31557/APJCP.2019.20.6.1655.</w:t>
      </w:r>
    </w:p>
    <w:p>
      <w:pPr>
        <w:spacing w:after="40" w:line="240" w:lineRule="auto"/>
        <w:ind w:firstLine="0"/>
        <w:jc w:val="both"/>
      </w:pPr>
      <w:r>
        <w:rPr>
          <w:rFonts w:ascii="Arial" w:hAnsi="Arial"/>
          <w:sz w:val="20"/>
        </w:rPr>
        <w:t>FINDLAY, G. M. et al. Saturation editing of genomic regions by multiplex homology-directed repair. Nature, v. 513, n. 7516, p. 120-3, 2014. DOI: 10.1038/nature13695.</w:t>
      </w:r>
    </w:p>
    <w:p>
      <w:pPr>
        <w:spacing w:after="40" w:line="240" w:lineRule="auto"/>
        <w:ind w:firstLine="0"/>
        <w:jc w:val="both"/>
      </w:pPr>
      <w:r>
        <w:rPr>
          <w:rFonts w:ascii="Arial" w:hAnsi="Arial"/>
          <w:sz w:val="20"/>
        </w:rPr>
        <w:t>FINDLAY, G. M. et al. Accurate classification of BRCA1 variants with saturation genome editing. Nature, v. 562, n. 7726, p. 217-222, 2018. DOI: 10.1038/s41586-018-0461-z.</w:t>
      </w:r>
    </w:p>
    <w:p>
      <w:pPr>
        <w:spacing w:after="40" w:line="240" w:lineRule="auto"/>
        <w:ind w:firstLine="0"/>
        <w:jc w:val="both"/>
      </w:pPr>
      <w:r>
        <w:rPr>
          <w:rFonts w:ascii="Arial" w:hAnsi="Arial"/>
          <w:sz w:val="20"/>
        </w:rPr>
        <w:t>GANAKAMMAL, S. R.; ALEXOV, E. Evaluation of performance of leading algorithms for variant pathogenicity predictions and designing a combinatory predictor method: application to Rett syndrome variants. PeerJ, v. 7, p. e8106, 2019. DOI: 10.7717/peerj.8106.</w:t>
      </w:r>
    </w:p>
    <w:p>
      <w:pPr>
        <w:spacing w:after="40" w:line="240" w:lineRule="auto"/>
        <w:ind w:firstLine="0"/>
        <w:jc w:val="both"/>
      </w:pPr>
      <w:r>
        <w:rPr>
          <w:rFonts w:ascii="Arial" w:hAnsi="Arial"/>
          <w:sz w:val="20"/>
        </w:rPr>
        <w:t>HART, S. N. et al. Prediction of the functional impact of missense variants in BRCA1 and BRCA2 with BRCA-ML. NPJ Breast Cancer, v. 6, p. 13, 2020. DOI: 10.1038/s41523-020-0159-x.</w:t>
      </w:r>
    </w:p>
    <w:p>
      <w:pPr>
        <w:spacing w:after="40" w:line="240" w:lineRule="auto"/>
        <w:ind w:firstLine="0"/>
        <w:jc w:val="both"/>
      </w:pPr>
      <w:r>
        <w:rPr>
          <w:rFonts w:ascii="Arial" w:hAnsi="Arial"/>
          <w:sz w:val="20"/>
        </w:rPr>
        <w:t>HU, C. et al. Classification of BRCA2 Variants of Uncertain Significance (VUS) Using an ACMG/AMP Model Incorporating a Homology-Directed Repair (HDR) Functional Assay. Clin Cancer Res, v. 28, n. 17, p. 3742-3751, 2022. DOI: 10.1158/1078-0432.CCR-22-0203.</w:t>
      </w:r>
    </w:p>
    <w:p>
      <w:pPr>
        <w:spacing w:after="40" w:line="240" w:lineRule="auto"/>
        <w:ind w:firstLine="0"/>
        <w:jc w:val="both"/>
      </w:pPr>
      <w:r>
        <w:rPr>
          <w:rFonts w:ascii="Arial" w:hAnsi="Arial"/>
          <w:sz w:val="20"/>
        </w:rPr>
        <w:t>IOANNIDIS, N. M. et al. REVEL: An Ensemble Method for Predicting the Pathogenicity of Rare Missense Variants. Am J Hum Genet, v. 99, n. 4, p. 877-885, 2016. DOI: 10.1016/j.ajhg.2016.08.016.</w:t>
      </w:r>
    </w:p>
    <w:p>
      <w:pPr>
        <w:spacing w:after="40" w:line="240" w:lineRule="auto"/>
        <w:ind w:firstLine="0"/>
        <w:jc w:val="both"/>
      </w:pPr>
      <w:r>
        <w:rPr>
          <w:rFonts w:ascii="Arial" w:hAnsi="Arial"/>
          <w:sz w:val="20"/>
        </w:rPr>
        <w:t>KARCZEWSKI, K. J. et al. The mutational constraint spectrum quantified from variation in 141,456 humans. Nature, v. 581, n. 7809, p. 434-443, 2020. DOI: 10.1038/s41586-020-2308-7.</w:t>
      </w:r>
    </w:p>
    <w:p>
      <w:pPr>
        <w:spacing w:after="40" w:line="240" w:lineRule="auto"/>
        <w:ind w:firstLine="0"/>
        <w:jc w:val="both"/>
      </w:pPr>
      <w:r>
        <w:rPr>
          <w:rFonts w:ascii="Arial" w:hAnsi="Arial"/>
          <w:sz w:val="20"/>
        </w:rPr>
        <w:t>KERNBACH, J. M.; STAARTJES, V. E. Foundations of Machine Learning-Based Clinical Prediction Modeling: Part II-Generalization and Overfitting. Acta Neurochir Suppl, v. 134, p. 15-21, 2022. DOI: 10.1007/978-3-030-85292-4_3.</w:t>
      </w:r>
    </w:p>
    <w:p>
      <w:pPr>
        <w:spacing w:after="40" w:line="240" w:lineRule="auto"/>
        <w:ind w:firstLine="0"/>
        <w:jc w:val="both"/>
      </w:pPr>
      <w:r>
        <w:rPr>
          <w:rFonts w:ascii="Arial" w:hAnsi="Arial"/>
          <w:sz w:val="20"/>
        </w:rPr>
        <w:t>LABES, S. et al. Machine-learning of complex evolutionary signals improves classification of SNVs. NAR Genom Bioinform, v. 4, n. 2, p. lqac025, 2022. DOI: 10.1093/nargab/lqac025.</w:t>
      </w:r>
    </w:p>
    <w:p>
      <w:pPr>
        <w:spacing w:after="40" w:line="240" w:lineRule="auto"/>
        <w:ind w:firstLine="0"/>
        <w:jc w:val="both"/>
      </w:pPr>
      <w:r>
        <w:rPr>
          <w:rFonts w:ascii="Arial" w:hAnsi="Arial"/>
          <w:sz w:val="20"/>
        </w:rPr>
        <w:t>LAKE, N. J. et al. Quantifying constraint in the human mitochondrial genome. Nature, v. 635, n. 8038, p. 390-397, 2024. DOI: 10.1038/s41586-024-08048-x.</w:t>
      </w:r>
    </w:p>
    <w:p>
      <w:pPr>
        <w:spacing w:after="40" w:line="240" w:lineRule="auto"/>
        <w:ind w:firstLine="0"/>
        <w:jc w:val="both"/>
      </w:pPr>
      <w:r>
        <w:rPr>
          <w:rFonts w:ascii="Arial" w:hAnsi="Arial"/>
          <w:sz w:val="20"/>
        </w:rPr>
        <w:t>LASTA, J. L.; GROTO, A. D.; BRANDALIZE, A. P. C. Assessment of medical knowledge toward genetic testing for individuals with hereditary breast and ovarian cancer syndrome in Brazil. Prev Med Rep, v. 35, p. 102356, 2023. DOI: 10.1016/j.pmedr.2023.102356.</w:t>
      </w:r>
    </w:p>
    <w:p>
      <w:pPr>
        <w:spacing w:after="40" w:line="240" w:lineRule="auto"/>
        <w:ind w:firstLine="0"/>
        <w:jc w:val="both"/>
      </w:pPr>
      <w:r>
        <w:rPr>
          <w:rFonts w:ascii="Arial" w:hAnsi="Arial"/>
          <w:sz w:val="20"/>
        </w:rPr>
        <w:t>LIN, Z. et al. Evolutionary-scale prediction of atomic-level protein structure with a language model. Science, v. 379, n. 6637, p. 1123-1130, 2023. DOI: 10.1126/science.ade2574.</w:t>
      </w:r>
    </w:p>
    <w:p>
      <w:pPr>
        <w:spacing w:after="40" w:line="240" w:lineRule="auto"/>
        <w:ind w:firstLine="0"/>
        <w:jc w:val="both"/>
      </w:pPr>
      <w:r>
        <w:rPr>
          <w:rFonts w:ascii="Arial" w:hAnsi="Arial"/>
          <w:sz w:val="20"/>
        </w:rPr>
        <w:t>MANRAI, A. K. et al. Genetic Misdiagnoses and the Potential for Health Disparities. N Engl J Med, v. 375, n. 7, p. 655-665, 2016. DOI: 10.1056/NEJMsa1507092.</w:t>
      </w:r>
    </w:p>
    <w:p>
      <w:pPr>
        <w:spacing w:after="40" w:line="240" w:lineRule="auto"/>
        <w:ind w:firstLine="0"/>
        <w:jc w:val="both"/>
      </w:pPr>
      <w:r>
        <w:rPr>
          <w:rFonts w:ascii="Arial" w:hAnsi="Arial"/>
          <w:sz w:val="20"/>
        </w:rPr>
        <w:t>MCCORMICK, E. M. et al. Specifications of the ACMG/AMP standards and guidelines for mitochondrial DNA variant interpretation. Hum Mutat, v. 41, n. 12, p. 2028-2057, 2020. DOI: 10.1002/humu.24107.</w:t>
      </w:r>
    </w:p>
    <w:p>
      <w:pPr>
        <w:spacing w:after="40" w:line="240" w:lineRule="auto"/>
        <w:ind w:firstLine="0"/>
        <w:jc w:val="both"/>
      </w:pPr>
      <w:r>
        <w:rPr>
          <w:rFonts w:ascii="Arial" w:hAnsi="Arial"/>
          <w:sz w:val="20"/>
        </w:rPr>
        <w:t>MEIER, J. et al. Language models enable zero-shot prediction of the effects of mutations on protein function. NeurIPS, 2021.</w:t>
      </w:r>
    </w:p>
    <w:p>
      <w:pPr>
        <w:spacing w:after="40" w:line="240" w:lineRule="auto"/>
        <w:ind w:firstLine="0"/>
        <w:jc w:val="both"/>
      </w:pPr>
      <w:r>
        <w:rPr>
          <w:rFonts w:ascii="Arial" w:hAnsi="Arial"/>
          <w:sz w:val="20"/>
        </w:rPr>
        <w:t>NORONHA, M. M. et al. Beyond 1100delC: distinct CHEK2 variants and unique cancer phenotypes in Northeast Brazil. Fam Cancer, v. 25, n. 1, p. 8, 2026. DOI: 10.1007/s10689-025-00526-z.</w:t>
      </w:r>
    </w:p>
    <w:p>
      <w:pPr>
        <w:spacing w:after="40" w:line="240" w:lineRule="auto"/>
        <w:ind w:firstLine="0"/>
        <w:jc w:val="both"/>
      </w:pPr>
      <w:r>
        <w:rPr>
          <w:rFonts w:ascii="Arial" w:hAnsi="Arial"/>
          <w:sz w:val="20"/>
        </w:rPr>
        <w:t>NYKAMP, K. et al. Sherloc: a comprehensive refinement of the ACMG-AMP variant classification criteria. Genet Med, v. 19, n. 10, p. 1105-1117, 2017. DOI: 10.1038/gim.2017.37.</w:t>
      </w:r>
    </w:p>
    <w:p>
      <w:pPr>
        <w:spacing w:after="40" w:line="240" w:lineRule="auto"/>
        <w:ind w:firstLine="0"/>
        <w:jc w:val="both"/>
      </w:pPr>
      <w:r>
        <w:rPr>
          <w:rFonts w:ascii="Arial" w:hAnsi="Arial"/>
          <w:sz w:val="20"/>
        </w:rPr>
        <w:t>OZA, A. M. et al. Expert specification of the ACMG/AMP variant interpretation guidelines for genetic hearing loss. Hum Mutat, v. 39, n. 11, p. 1593-1613, 2018. DOI: 10.1002/humu.23630.</w:t>
      </w:r>
    </w:p>
    <w:p>
      <w:pPr>
        <w:spacing w:after="40" w:line="240" w:lineRule="auto"/>
        <w:ind w:firstLine="0"/>
        <w:jc w:val="both"/>
      </w:pPr>
      <w:r>
        <w:rPr>
          <w:rFonts w:ascii="Arial" w:hAnsi="Arial"/>
          <w:sz w:val="20"/>
        </w:rPr>
        <w:t>PALMERO, E. I. et al. Clinical characterization and risk profile of individuals seeking genetic counseling for hereditary breast cancer in Brazil. J Genet Couns, v. 16, n. 3, p. 363-71, 2007. DOI: 10.1007/s10897-006-9073-0.</w:t>
      </w:r>
    </w:p>
    <w:p>
      <w:pPr>
        <w:spacing w:after="40" w:line="240" w:lineRule="auto"/>
        <w:ind w:firstLine="0"/>
        <w:jc w:val="both"/>
      </w:pPr>
      <w:r>
        <w:rPr>
          <w:rFonts w:ascii="Arial" w:hAnsi="Arial"/>
          <w:sz w:val="20"/>
        </w:rPr>
        <w:t>PARSONS, M. T. et al. Large scale multifactorial likelihood quantitative analysis of BRCA1 and BRCA2 variants: An ENIGMA resource to support clinical variant classification. Hum Mutat, v. 40, n. 9, p. 1557-1578, 2019. DOI: 10.1002/humu.23818.</w:t>
      </w:r>
    </w:p>
    <w:p>
      <w:pPr>
        <w:spacing w:after="40" w:line="240" w:lineRule="auto"/>
        <w:ind w:firstLine="0"/>
        <w:jc w:val="both"/>
      </w:pPr>
      <w:r>
        <w:rPr>
          <w:rFonts w:ascii="Arial" w:hAnsi="Arial"/>
          <w:sz w:val="20"/>
        </w:rPr>
        <w:t>PEJAVER, V. et al. Calibration of computational tools for missense variant pathogenicity classification and ClinGen recommendations for PP3/BP4 criteria. Am J Hum Genet, v. 109, n. 12, p. 2163-2177, 2022. DOI: 10.1016/j.ajhg.2022.10.013.</w:t>
      </w:r>
    </w:p>
    <w:p>
      <w:pPr>
        <w:spacing w:after="40" w:line="240" w:lineRule="auto"/>
        <w:ind w:firstLine="0"/>
        <w:jc w:val="both"/>
      </w:pPr>
      <w:r>
        <w:rPr>
          <w:rFonts w:ascii="Arial" w:hAnsi="Arial"/>
          <w:sz w:val="20"/>
        </w:rPr>
        <w:t>POPEJOY, A. B.; FULLERTON, S. M. Genomics is failing on diversity. Nature, v. 538, n. 7624, p. 161-164, 2016. DOI: 10.1038/538161a.</w:t>
      </w:r>
    </w:p>
    <w:p>
      <w:pPr>
        <w:spacing w:after="40" w:line="240" w:lineRule="auto"/>
        <w:ind w:firstLine="0"/>
        <w:jc w:val="both"/>
      </w:pPr>
      <w:r>
        <w:rPr>
          <w:rFonts w:ascii="Arial" w:hAnsi="Arial"/>
          <w:sz w:val="20"/>
        </w:rPr>
        <w:t>RAMADANE-MORCHADI, L. et al. ACMG/AMP interpretation of BRCA1 missense variants: Structure-informed scores add evidence strength granularity to the PP3/BP4 computational evidence. Am J Hum Genet, v. 112, n. 5, p. 993-1002, 2025. DOI: 10.1016/j.ajhg.2024.12.011.</w:t>
      </w:r>
    </w:p>
    <w:p>
      <w:pPr>
        <w:spacing w:after="40" w:line="240" w:lineRule="auto"/>
        <w:ind w:firstLine="0"/>
        <w:jc w:val="both"/>
      </w:pPr>
      <w:r>
        <w:rPr>
          <w:rFonts w:ascii="Arial" w:hAnsi="Arial"/>
          <w:sz w:val="20"/>
        </w:rPr>
        <w:t>RENTZSCH, P. et al. CADD: predicting the deleteriousness of variants throughout the human genome. Nucleic Acids Res, v. 47, n. D1, p. D886-D894, 2019. DOI: 10.1093/nar/gky1016.</w:t>
      </w:r>
    </w:p>
    <w:p>
      <w:pPr>
        <w:spacing w:after="40" w:line="240" w:lineRule="auto"/>
        <w:ind w:firstLine="0"/>
        <w:jc w:val="both"/>
      </w:pPr>
      <w:r>
        <w:rPr>
          <w:rFonts w:ascii="Arial" w:hAnsi="Arial"/>
          <w:sz w:val="20"/>
        </w:rPr>
        <w:t>RIBEIRO, A. A. F. et al. Molecular characterization of hereditary breast and ovarian cancer patients from a public precision medicine service in the Southeast Brazilian population. Sci Rep, v. 15, n. 1, p. 33495, 2025. DOI: 10.1038/s41598-025-16870-0.</w:t>
      </w:r>
    </w:p>
    <w:p>
      <w:pPr>
        <w:spacing w:after="40" w:line="240" w:lineRule="auto"/>
        <w:ind w:firstLine="0"/>
        <w:jc w:val="both"/>
      </w:pPr>
      <w:r>
        <w:rPr>
          <w:rFonts w:ascii="Arial" w:hAnsi="Arial"/>
          <w:sz w:val="20"/>
        </w:rPr>
        <w:t>RICHARDS, S. et al. Standards and guidelines for the interpretation of sequence variants: a joint consensus recommendation of the American College of Medical Genetics and Genomics and the Association for Molecular Pathology. Genet Med, v. 17, n. 5, p. 405-24, 2015. DOI: 10.1038/gim.2015.30.</w:t>
      </w:r>
    </w:p>
    <w:p>
      <w:pPr>
        <w:spacing w:after="40" w:line="240" w:lineRule="auto"/>
        <w:ind w:firstLine="0"/>
        <w:jc w:val="both"/>
      </w:pPr>
      <w:r>
        <w:rPr>
          <w:rFonts w:ascii="Arial" w:hAnsi="Arial"/>
          <w:sz w:val="20"/>
        </w:rPr>
        <w:t>SHETTY, A. P. et al. A leakage-controlled and SHAP driven machine learning framework for paediatric respiratory disease classification using Indian hospital EHR data. BMC Med Inform Decis Mak, v. 26, n. 1, 2026. DOI: 10.1186/s12911-026-03493-2.</w:t>
      </w:r>
    </w:p>
    <w:p>
      <w:pPr>
        <w:spacing w:after="40" w:line="240" w:lineRule="auto"/>
        <w:ind w:firstLine="0"/>
        <w:jc w:val="both"/>
      </w:pPr>
      <w:r>
        <w:rPr>
          <w:rFonts w:ascii="Arial" w:hAnsi="Arial"/>
          <w:sz w:val="20"/>
        </w:rPr>
        <w:t>SMOL, T. et al. Performance of meta-predictors for the classification of MED13L missense variations, implication of raw parameters. Eur J Med Genet, v. 65, n. 1, p. 104398, 2021. DOI: 10.1016/j.ejmg.2021.104398.</w:t>
      </w:r>
    </w:p>
    <w:p>
      <w:pPr>
        <w:spacing w:after="40" w:line="240" w:lineRule="auto"/>
        <w:ind w:firstLine="0"/>
        <w:jc w:val="both"/>
      </w:pPr>
      <w:r>
        <w:rPr>
          <w:rFonts w:ascii="Arial" w:hAnsi="Arial"/>
          <w:sz w:val="20"/>
        </w:rPr>
        <w:t>SOEWITO, S. et al. Disparities in Cancer Genetic Testing and Variants of Uncertain Significance in the Hispanic Population of South Texas. JCO Oncol Pract, v. 18, n. 5, p. e805-e813, 2022. DOI: 10.1200/OP.22.00090.</w:t>
      </w:r>
    </w:p>
    <w:p>
      <w:pPr>
        <w:spacing w:after="40" w:line="240" w:lineRule="auto"/>
        <w:ind w:firstLine="0"/>
        <w:jc w:val="both"/>
      </w:pPr>
      <w:r>
        <w:rPr>
          <w:rFonts w:ascii="Arial" w:hAnsi="Arial"/>
          <w:sz w:val="20"/>
        </w:rPr>
        <w:t>STARITA, L. M. et al. Massively Parallel Functional Analysis of BRCA1 RING Domain Variants. Genetics, v. 200, n. 2, p. 413-422, 2015. DOI: 10.1534/genetics.115.175802.</w:t>
      </w:r>
    </w:p>
    <w:p>
      <w:pPr>
        <w:spacing w:after="40" w:line="240" w:lineRule="auto"/>
        <w:ind w:firstLine="0"/>
        <w:jc w:val="both"/>
      </w:pPr>
      <w:r>
        <w:rPr>
          <w:rFonts w:ascii="Arial" w:hAnsi="Arial"/>
          <w:sz w:val="20"/>
        </w:rPr>
        <w:t>SUYBENG, V. et al. Comparison of Pathogenicity Prediction Tools on Somatic Variants. J Mol Diagn, v. 22, n. 12, p. 1383-1392, 2020. DOI: 10.1016/j.jmoldx.2020.08.007.</w:t>
      </w:r>
    </w:p>
    <w:p>
      <w:pPr>
        <w:spacing w:after="40" w:line="240" w:lineRule="auto"/>
        <w:ind w:firstLine="0"/>
        <w:jc w:val="both"/>
      </w:pPr>
      <w:r>
        <w:rPr>
          <w:rFonts w:ascii="Arial" w:hAnsi="Arial"/>
          <w:sz w:val="20"/>
        </w:rPr>
        <w:t>TIAN, Y. et al. REVEL and BayesDel outperform other in silico meta-predictors for clinical variant classification. Sci Rep, v. 9, n. 1, p. 12752, 2019. DOI: 10.1038/s41598-019-49224-8.</w:t>
      </w:r>
    </w:p>
    <w:p>
      <w:pPr>
        <w:spacing w:after="40" w:line="240" w:lineRule="auto"/>
        <w:ind w:firstLine="0"/>
        <w:jc w:val="both"/>
      </w:pPr>
      <w:r>
        <w:rPr>
          <w:rFonts w:ascii="Arial" w:hAnsi="Arial"/>
          <w:sz w:val="20"/>
        </w:rPr>
        <w:t>TOLAND, A. E.; ANDREASSEN, P. R. DNA repair-related functional assays for the classification of BRCA1 and BRCA2 variants: a critical review and needs assessment. J Med Genet, v. 54, n. 11, p. 721-731, 2017. DOI: 10.1136/jmedgenet-2017-104707.</w:t>
      </w:r>
    </w:p>
    <w:p>
      <w:pPr>
        <w:spacing w:after="40" w:line="240" w:lineRule="auto"/>
        <w:ind w:firstLine="0"/>
        <w:jc w:val="both"/>
      </w:pPr>
      <w:r>
        <w:rPr>
          <w:rFonts w:ascii="Arial" w:hAnsi="Arial"/>
          <w:sz w:val="20"/>
        </w:rPr>
        <w:t>TORRETTO, G. C. et al. Domain-Specific Computational, Functional and Structural Methods Enable Interpretation of BRCT Variants of Uncertain Significance. Curr Oncol, v. 33, n. 6, 2026. DOI: 10.3390/curroncol33060354.</w:t>
      </w:r>
    </w:p>
    <w:p>
      <w:pPr>
        <w:spacing w:after="40" w:line="240" w:lineRule="auto"/>
        <w:ind w:firstLine="0"/>
        <w:jc w:val="both"/>
      </w:pPr>
      <w:r>
        <w:rPr>
          <w:rFonts w:ascii="Arial" w:hAnsi="Arial"/>
          <w:sz w:val="20"/>
        </w:rPr>
        <w:t>UNIPROT CONSORTIUM, THE. UniProt: the Universal Protein Knowledgebase in 2023. Nucleic Acids Res, v. 51, n. D1, p. D523-D531, 2023.</w:t>
      </w:r>
    </w:p>
    <w:p>
      <w:pPr>
        <w:spacing w:after="40" w:line="240" w:lineRule="auto"/>
        <w:ind w:firstLine="0"/>
        <w:jc w:val="both"/>
      </w:pPr>
      <w:r>
        <w:rPr>
          <w:rFonts w:ascii="Arial" w:hAnsi="Arial"/>
          <w:sz w:val="20"/>
        </w:rPr>
        <w:t>YANG, H. et al. BRCA2 function in DNA binding and recombination from a BRCA2-DSS1-ssDNA structure. Science, v. 297, n. 5588, p. 1837-1848, 2002. DOI: 10.1126/science.297.5588.1837.</w:t>
      </w:r>
    </w:p>
    <w:p>
      <w:pPr>
        <w:spacing w:after="40" w:line="240" w:lineRule="auto"/>
        <w:ind w:firstLine="0"/>
        <w:jc w:val="both"/>
      </w:pPr>
      <w:r>
        <w:rPr>
          <w:rFonts w:ascii="Arial" w:hAnsi="Arial"/>
          <w:sz w:val="20"/>
        </w:rPr>
        <w:t>ZHANG, X. et al. Genetic constraint at single amino acid resolution in protein domains improves missense variant prioritisation and gene discovery. Genome Med, v. 16, n. 1, p. 88, 2024. DOI: 10.1186/s13073-024-01358-9.</w:t>
      </w:r>
    </w:p>
    <w:p>
      <w:pPr>
        <w:spacing w:after="40" w:line="240" w:lineRule="auto"/>
        <w:ind w:firstLine="0"/>
        <w:jc w:val="both"/>
      </w:pPr>
      <w:r>
        <w:rPr>
          <w:rFonts w:ascii="Arial" w:hAnsi="Arial"/>
          <w:sz w:val="20"/>
        </w:rPr>
        <w:t>ZHANG, Q. et al. Integrating protein language models and automatic biofoundry for enhanced protein evolution. Nat Commun, v. 16, n. 1, p. 1553, 2025. DOI: 10.1038/s41467-025-56751-8.</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ind w:firstLine="0"/>
      <w:jc w:val="left"/>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jc w:val="left"/>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