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commentRangeStart w:id="2"/>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commentRangeEnd w:id="2"/>
      <w:r>
        <w:rPr>
          <w:rStyle w:val="CommentReference"/>
        </w:rPr>
        <w:commentReference w:id="2"/>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456 com rótulo interpretável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das quais 456 têm rótulo ClinVar interpretável (264 VUS e 192 conflitantes)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commentRangeStart w:id="0"/>
      <w:r>
        <w:rPr>
          <w:rFonts w:ascii="Arial" w:cs="Arial" w:eastAsia="Arial" w:hAnsi="Arial"/>
          <w:b w:val="1"/>
          <w:bCs w:val="1"/>
          <w:sz w:val="22"/>
          <w:szCs w:val="22"/>
          <w:rtl w:val="0"/>
        </w:rPr>
        <w:t xml:space="preserve">Tabela 7. Resolução de variantes na zona cinzenta do AlphaMissense.</w:t>
      </w:r>
      <w:commentRangeEnd w:id="0"/>
      <w:r>
        <w:rPr>
          <w:rStyle w:val="CommentReference"/>
        </w:rPr>
        <w:commentReference w:id="0"/>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commentRangeStart w:id="1"/>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que eles tinham no benchmark completo, como prevê o argumento de circularidade. O CADD (0,963) permanece nominalmente à frente, exceção que a amostra pequena (n = 42; 15 positivos; IC95% [0,898–1,0], sobreposto ao do modelo) não permite interpretar como diferença real — corroboração direta, não prova.</w:t>
      </w:r>
      <w:commentRangeEnd w:id="1"/>
      <w:r>
        <w:rPr>
          <w:rStyle w:val="CommentReference"/>
        </w:rPr>
        <w:commentReference w:id="1"/>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supera AlphaMissense e REVEL, invertendo a vantagem deles no benchmark completo; o CADD permanece à frente, sobre amostra pequena sem diferença significativa.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 (Figuras S12 a S15).</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 xml:space="preserve">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 xml:space="preserve">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CADD permaneceu à frente, sem significância na amostra pequena);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7-12T21:55:54Z" w:initials="C">
    <w:p w14:paraId="229A49C5" w14:textId="77777777">
      <w:r>
        <w:rPr>
          <w:rStyle w:val="CommentReference"/>
        </w:rPr>
        <w:annotationRef/>
      </w:r>
      <w:r>
        <w:rPr>
          <w:color w:val="000000"/>
          <w:sz w:val="20"/>
          <w:szCs w:val="20"/>
        </w:rPr>
        <w:t xml:space="preserve">VERIFICAR: O texto cita 644 variantes ambíguas no total, mas a Tabela 7 soma 264 VUS + 192 conflitantes = 456 na zona cinzenta combinada. Confirme se os 644 incluem uma terceira categoria não tabulada ou reconcilie os números (o denominador dos percentuais 53,8% e 64,6% precisa bater com a Tabela 7).</w:t>
      </w:r>
    </w:p>
  </w:comment>
  <w:comment w:id="1" w:author="Claude" w:date="2026-07-12T21:56:29Z" w:initials="C">
    <w:p w14:paraId="2FE0FF7B" w14:textId="77777777">
      <w:r>
        <w:rPr>
          <w:rStyle w:val="CommentReference"/>
        </w:rPr>
        <w:annotationRef/>
      </w:r>
      <w:r>
        <w:rPr>
          <w:color w:val="000000"/>
          <w:sz w:val="20"/>
          <w:szCs w:val="20"/>
        </w:rPr>
        <w:t xml:space="preserve">VERIFICAR (importante para os avaliadores): a Figura 11B mostra CADD com AUC 0,963 — acima do PrimeVarClass (0,941). O texto afirma que o PrimeVarClass 'supera' os demais, mas cita apenas AlphaMissense e REVEL, omitindo o CADD, que na figura aparece como o mais alto. Recomendo reconciliar: ou o valor do CADD na figura está incorreto, ou o texto deve reconhecer o CADD explicitamente (ex.: 'entre os preditores supervisionados, apenas o CADD o acompanha') para não parecer seleção conveniente do resultado.</w:t>
      </w:r>
    </w:p>
  </w:comment>
  <w:comment w:id="2" w:author="Claude" w:date="2026-07-12T21:56:56Z" w:initials="C">
    <w:p w14:paraId="2260CA47" w14:textId="77777777">
      <w:r>
        <w:rPr>
          <w:rStyle w:val="CommentReference"/>
        </w:rPr>
        <w:annotationRef/>
      </w:r>
      <w:r>
        <w:rPr>
          <w:color w:val="000000"/>
          <w:sz w:val="20"/>
          <w:szCs w:val="20"/>
        </w:rPr>
        <w:t xml:space="preserve">Preencher antes da submissão: o campo Orientador(a) e o Telefone estão como 'a definir'. O edital do 32º PJC (item 2.2) exige a indicação do orientador e dados de contato da instituição. A memória do projeto indica contato já estabelecido com o Prof. Dr. Silvio Silvério da Silva (Depto. de Biotecnologia, EEL-USP) — confirmar se ele constará como orientador. Telefone institucional da EEL-USP (Área I): (12) 3159-5000.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9A49C5" w15:done="0"/>
  <w15:commentEx w15:paraId="2FE0FF7B" w15:done="0"/>
  <w15:commentEx w15:paraId="2260CA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FF454AD" w16cex:dateUtc="2026-07-12T21:55:54Z"/>
  <w16cex:commentExtensible w16cex:durableId="0E060602" w16cex:dateUtc="2026-07-12T21:56:29Z"/>
  <w16cex:commentExtensible w16cex:durableId="5784A0AB" w16cex:dateUtc="2026-07-12T21:56:5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9A49C5" w16cid:durableId="4FF454AD"/>
  <w16cid:commentId w16cid:paraId="2FE0FF7B" w16cid:durableId="0E060602"/>
  <w16cid:commentId w16cid:paraId="2260CA47" w16cid:durableId="5784A0AB"/>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 Id="rId18" Type="http://schemas.openxmlformats.org/officeDocument/2006/relationships/comments" Target="comments.xml"/><Relationship Id="rId19" Type="http://schemas.microsoft.com/office/2011/relationships/commentsExtended" Target="commentsExtended.xml"/><Relationship Id="rId20" Type="http://schemas.microsoft.com/office/2016/09/relationships/commentsIds" Target="commentsIds.xml"/><Relationship Id="rId21"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