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PrimeVarClass: da hipótese dos números primos a um classificador de variantes BRCA1/BRCA2 consciente de domínio e validado externamente</w:t>
      </w:r>
    </w:p>
    <w:p>
      <w:pPr>
        <w:spacing w:after="40"/>
      </w:pPr>
      <w:r>
        <w:rPr>
          <w:rFonts w:ascii="Arial" w:hAnsi="Arial"/>
          <w:b/>
          <w:sz w:val="22"/>
        </w:rPr>
        <w:t>32º Prêmio Jovem Cientista (2026) — Categoria: Estudante do Ensino Superior.</w:t>
      </w:r>
    </w:p>
    <w:p>
      <w:pPr>
        <w:spacing w:after="40"/>
      </w:pPr>
      <w:r>
        <w:rPr>
          <w:rFonts w:ascii="Arial" w:hAnsi="Arial"/>
          <w:sz w:val="22"/>
        </w:rPr>
        <w:t xml:space="preserve">Tema: </w:t>
      </w:r>
      <w:r>
        <w:rPr>
          <w:rFonts w:ascii="Arial" w:hAnsi="Arial"/>
          <w:i/>
          <w:sz w:val="22"/>
        </w:rPr>
        <w:t>Inteligência Artificial para o Bem Comum</w:t>
      </w:r>
      <w:r>
        <w:rPr>
          <w:rFonts w:ascii="Arial" w:hAnsi="Arial"/>
          <w:sz w:val="22"/>
        </w:rPr>
        <w:t xml:space="preserve"> — Subtema: </w:t>
      </w:r>
      <w:r>
        <w:rPr>
          <w:rFonts w:ascii="Arial" w:hAnsi="Arial"/>
          <w:b/>
          <w:sz w:val="22"/>
        </w:rPr>
        <w:t>Inteligência Artificial &amp; Saúde</w:t>
      </w:r>
      <w:r>
        <w:rPr>
          <w:rFonts w:ascii="Arial" w:hAnsi="Arial"/>
          <w:sz w:val="22"/>
        </w:rPr>
        <w:t xml:space="preserve"> (item 1.4.1.b do Edital).</w:t>
      </w:r>
    </w:p>
    <w:p>
      <w:pPr>
        <w:spacing w:after="40"/>
      </w:pPr>
      <w:r>
        <w:rPr>
          <w:rFonts w:ascii="Arial" w:hAnsi="Arial"/>
          <w:b/>
          <w:sz w:val="22"/>
        </w:rPr>
        <w:t>Autor:</w:t>
      </w:r>
      <w:r>
        <w:rPr>
          <w:rFonts w:ascii="Arial" w:hAnsi="Arial"/>
          <w:sz w:val="22"/>
        </w:rPr>
        <w:t xml:space="preserve"> Wesley Felipe Capucho — graduando em Engenharia Bioquímica</w:t>
      </w:r>
    </w:p>
    <w:p>
      <w:pPr>
        <w:spacing w:after="40"/>
      </w:pPr>
      <w:r>
        <w:rPr>
          <w:rFonts w:ascii="Arial" w:hAnsi="Arial"/>
          <w:b/>
          <w:sz w:val="22"/>
        </w:rPr>
        <w:t>Orientador(a):</w:t>
      </w:r>
      <w:r>
        <w:rPr>
          <w:rFonts w:ascii="Arial" w:hAnsi="Arial"/>
          <w:sz w:val="22"/>
        </w:rPr>
        <w:t xml:space="preserve"> ⟨nome do(a) orientador(a) — a preencher⟩</w:t>
      </w:r>
    </w:p>
    <w:p>
      <w:pPr>
        <w:spacing w:after="40"/>
      </w:pPr>
      <w:r>
        <w:rPr>
          <w:rFonts w:ascii="Arial" w:hAnsi="Arial"/>
          <w:b/>
          <w:sz w:val="22"/>
        </w:rPr>
        <w:t>Instituição de vínculo:</w:t>
      </w:r>
      <w:r>
        <w:rPr>
          <w:rFonts w:ascii="Arial" w:hAnsi="Arial"/>
          <w:sz w:val="22"/>
        </w:rPr>
        <w:t xml:space="preserve"> Escola de Engenharia de Lorena, Universidade de São Paulo (EEL-USP) — Estrada Municipal do Campinho, s/nº, Ponte Nova, Lorena – SP, CEP 12602-810. Telefone: ⟨a preencher⟩. E-mail: wesleycapucho@usp.br</w:t>
      </w:r>
    </w:p>
    <w:p>
      <w:pPr>
        <w:spacing w:after="40"/>
      </w:pPr>
      <w:r>
        <w:rPr>
          <w:rFonts w:ascii="Arial" w:hAnsi="Arial"/>
          <w:b/>
          <w:sz w:val="22"/>
        </w:rPr>
        <w:t>Instituição onde a pesquisa foi desenvolvida:</w:t>
      </w:r>
      <w:r>
        <w:rPr>
          <w:rFonts w:ascii="Arial" w:hAnsi="Arial"/>
          <w:sz w:val="22"/>
        </w:rPr>
        <w:t xml:space="preserve"> Escola de Engenharia de Lorena, Universidade de São Paulo (EEL-USP), Lorena – SP, Brasil.</w:t>
      </w:r>
    </w:p>
    <w:p>
      <w:pPr>
        <w:spacing w:after="40"/>
      </w:pPr>
      <w:r>
        <w:rPr>
          <w:rFonts w:ascii="Arial" w:hAnsi="Arial"/>
          <w:i/>
          <w:sz w:val="22"/>
        </w:rPr>
        <w:t>Formatação: A4, fonte Arial, corpo 12, espaçamento 1,5, em Língua Portuguesa (item 2.2.2 do Edital). Campos restantes entre ⟨…⟩ (nome do orientador e telefone institucional) a preencher antes da submissão.</w:t>
      </w:r>
    </w:p>
    <w:p/>
    <w:p>
      <w:pPr>
        <w:pStyle w:val="Heading1"/>
      </w:pPr>
      <w:r>
        <w:t>Resumo</w:t>
      </w:r>
    </w:p>
    <w:p>
      <w:pPr>
        <w:jc w:val="both"/>
      </w:pPr>
      <w:r>
        <w:rPr>
          <w:rFonts w:ascii="Arial" w:hAnsi="Arial"/>
        </w:rPr>
        <w:t xml:space="preserve">A interpretação de variantes de significado incerto (VUS) em genes de predisposição ao câncer de mama e ovário, como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, é um gargalo clínico e de pesquisa: milhares de mutações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permanecem sem classificação, o que limita o aconselhamento genético e o acesso equitativo à medicina de precisão no Brasil. Este trabalho apresenta o </w:t>
      </w:r>
      <w:r>
        <w:rPr>
          <w:rFonts w:ascii="Arial" w:hAnsi="Arial"/>
          <w:b/>
        </w:rPr>
        <w:t>PrimeVarClass</w:t>
      </w:r>
      <w:r>
        <w:rPr>
          <w:rFonts w:ascii="Arial" w:hAnsi="Arial"/>
        </w:rPr>
        <w:t xml:space="preserve">, um sistema de inteligência artificial explicável para priorização dessas variantes, desenvolvido sob um princípio central: </w:t>
      </w:r>
      <w:r>
        <w:rPr>
          <w:rFonts w:ascii="Arial" w:hAnsi="Arial"/>
          <w:b/>
        </w:rPr>
        <w:t>rigor metodológico e honestidade científica como fonte de valor</w:t>
      </w:r>
      <w:r>
        <w:rPr>
          <w:rFonts w:ascii="Arial" w:hAnsi="Arial"/>
        </w:rPr>
        <w:t xml:space="preserve">. Partimos de uma hipótese original — codificar aminoácidos como números primos para capturar padrões de patogenicidade — e a submetemos a um teste controlado com dados reais do ClinVar, painéis de especialistas e gnomAD, sob o mesmo protocolo rigoroso usado em todo o trabalho (validação cruzada bloqueada por posição e generalização em coortes externas). A hipótese foi </w:t>
      </w:r>
      <w:r>
        <w:rPr>
          <w:rFonts w:ascii="Arial" w:hAnsi="Arial"/>
          <w:b/>
        </w:rPr>
        <w:t>refutada de forma transparente</w:t>
      </w:r>
      <w:r>
        <w:rPr>
          <w:rFonts w:ascii="Arial" w:hAnsi="Arial"/>
        </w:rPr>
        <w:t xml:space="preserve">: mesmo nesse regime rigoroso, características derivadas de primos tiveram desempenho inferior ao de uma identidade trivial de aminoácidos sem posição (AUC externa 0,681 vs. 0,718; DeLong p = 0,045) e </w:t>
      </w:r>
      <w:r>
        <w:rPr>
          <w:rFonts w:ascii="Arial" w:hAnsi="Arial"/>
          <w:i/>
        </w:rPr>
        <w:t>reduziram</w:t>
      </w:r>
      <w:r>
        <w:rPr>
          <w:rFonts w:ascii="Arial" w:hAnsi="Arial"/>
        </w:rPr>
        <w:t xml:space="preserve"> o desempenho ao serem adicionadas a um modelo bioquímico (AUC externa 0,791 → 0,765; DeLong p &lt; 0,0001). No processo, diagnosticamos uma </w:t>
      </w:r>
      <w:r>
        <w:rPr>
          <w:rFonts w:ascii="Arial" w:hAnsi="Arial"/>
          <w:b/>
        </w:rPr>
        <w:t>armadilha de vazamento posicional</w:t>
      </w:r>
      <w:r>
        <w:rPr>
          <w:rFonts w:ascii="Arial" w:hAnsi="Arial"/>
        </w:rPr>
        <w:t xml:space="preserve">: a posição bruta do resíduo, quando avaliada sob validação ingênua (sem bloqueio), memoriza os dados de treino (AUC de ~0,885) mas essa memorização não se sustenta sob validação rigorosa nem em coortes externas. A partir desse diagnóstico, construímos um classificador </w:t>
      </w:r>
      <w:r>
        <w:rPr>
          <w:rFonts w:ascii="Arial" w:hAnsi="Arial"/>
          <w:b/>
        </w:rPr>
        <w:t>consciente de domínio funcional</w:t>
      </w:r>
      <w:r>
        <w:rPr>
          <w:rFonts w:ascii="Arial" w:hAnsi="Arial"/>
        </w:rPr>
        <w:t xml:space="preserve">, que substitui a posição bruta por características de </w:t>
      </w:r>
      <w:r>
        <w:rPr>
          <w:rFonts w:ascii="Arial" w:hAnsi="Arial"/>
          <w:i/>
        </w:rPr>
        <w:t>região</w:t>
      </w:r>
      <w:r>
        <w:rPr>
          <w:rFonts w:ascii="Arial" w:hAnsi="Arial"/>
        </w:rPr>
        <w:t xml:space="preserve"> anotadas a partir do UniProt (domínios RING/BRCT de BRCA1 e o domínio de ligação ao DNA de BRCA2). Esse modelo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com AUC de </w:t>
      </w:r>
      <w:r>
        <w:rPr>
          <w:rFonts w:ascii="Arial" w:hAnsi="Arial"/>
          <w:b/>
        </w:rPr>
        <w:t>0,847</w:t>
      </w:r>
      <w:r>
        <w:rPr>
          <w:rFonts w:ascii="Arial" w:hAnsi="Arial"/>
        </w:rPr>
        <w:t>, superando o modelo que usa posição bruta (0,791; DeLong p = 1,8 × 10⁻¹³) — evidência de que capturamos biologia transferível, não memorização. Ao combiná-lo com um modelo de linguagem de proteínas (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), avaliado sob o mesmo protocolo, o modelo-carro-chefe (domínio + ESM-2) atinge </w:t>
      </w:r>
      <w:r>
        <w:rPr>
          <w:rFonts w:ascii="Arial" w:hAnsi="Arial"/>
          <w:b/>
        </w:rPr>
        <w:t>AUC externa de 0,909</w:t>
      </w:r>
      <w:r>
        <w:rPr>
          <w:rFonts w:ascii="Arial" w:hAnsi="Arial"/>
        </w:rPr>
        <w:t xml:space="preserve"> (DeLong p = 1,5 × 10⁻¹⁰), e sua explicabilidade é demonstrada por valores de Shapley. O sistema é entregue como plataforma aberta, reprodutível e auditável. A contribuição principal não é uma alegação inflada de desempenho, mas um </w:t>
      </w:r>
      <w:r>
        <w:rPr>
          <w:rFonts w:ascii="Arial" w:hAnsi="Arial"/>
          <w:b/>
        </w:rPr>
        <w:t>método honesto, auditável e generalizável</w:t>
      </w:r>
      <w:r>
        <w:rPr>
          <w:rFonts w:ascii="Arial" w:hAnsi="Arial"/>
        </w:rPr>
        <w:t xml:space="preserve"> para apoiar a pesquisa genética responsável no país.</w:t>
      </w:r>
    </w:p>
    <w:p>
      <w:pPr>
        <w:jc w:val="both"/>
      </w:pPr>
      <w:r>
        <w:rPr>
          <w:rFonts w:ascii="Arial" w:hAnsi="Arial"/>
          <w:b/>
        </w:rPr>
        <w:t>Palavras-chave:</w:t>
      </w:r>
      <w:r>
        <w:rPr>
          <w:rFonts w:ascii="Arial" w:hAnsi="Arial"/>
        </w:rPr>
        <w:t xml:space="preserve"> classificação de variantes de significado incerto; BRCA1/BRCA2; validação externa; domínios funcionais de proteínas; inteligência artificial em saúde.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 problema clínico e social</w:t>
      </w:r>
    </w:p>
    <w:p>
      <w:pPr>
        <w:jc w:val="both"/>
      </w:pPr>
      <w:r>
        <w:rPr>
          <w:rFonts w:ascii="Arial" w:hAnsi="Arial"/>
        </w:rPr>
        <w:t xml:space="preserve">Mutações germinativas em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aumentam substancialmente o risco de câncer de mama e de ovário. A identificação de portadores permite estratégias de redução de risco, rastreamento intensificado e decisões terapêuticas informadas. Contudo, uma fração expressiva das variantes encontradas em testes genéticos é classificada como </w:t>
      </w:r>
      <w:r>
        <w:rPr>
          <w:rFonts w:ascii="Arial" w:hAnsi="Arial"/>
          <w:b/>
        </w:rPr>
        <w:t>variante de significado incerto (VUS)</w:t>
      </w:r>
      <w:r>
        <w:rPr>
          <w:rFonts w:ascii="Arial" w:hAnsi="Arial"/>
        </w:rPr>
        <w:t xml:space="preserve"> — não se sabe se são patogênicas ou benignas. Para o paciente e a família, uma VUS significa ansiedade e ausência de conduta clínica clara; para o sistema de saúde, significa exames que não se convertem em decisão.</w:t>
      </w:r>
    </w:p>
    <w:p>
      <w:pPr>
        <w:jc w:val="both"/>
      </w:pPr>
      <w:r>
        <w:rPr>
          <w:rFonts w:ascii="Arial" w:hAnsi="Arial"/>
        </w:rPr>
        <w:t xml:space="preserve">A base biológica desse problema reside na função de BRCA1 e BRCA2 na manutenção da integridade do genoma. Ambas são essenciais ao reparo de quebras de dupla fita do DNA pela via de </w:t>
      </w:r>
      <w:r>
        <w:rPr>
          <w:rFonts w:ascii="Arial" w:hAnsi="Arial"/>
          <w:b/>
        </w:rPr>
        <w:t>recombinação homóloga (RH)</w:t>
      </w:r>
      <w:r>
        <w:rPr>
          <w:rFonts w:ascii="Arial" w:hAnsi="Arial"/>
        </w:rPr>
        <w:t>, de alta fidelidade: BRCA2 controla o carregamento da recombinase RAD51 sobre o DNA de fita simples, enquanto BRCA1, em complexo com BARD1, atua na sinalização e no processamento do dano. Quando uma variante germinativa compromete essa função, a RH torna-se deficiente e a célula recorre a mecanismos de reparo propensos a erro, acumulando mutações e instabilidade genômica — o substrato da transformação maligna. Clinicamente, isso se traduz em risco elevado e precoce de câncer de mama e de ovário, com penetrância cumulativa que pode ultrapassar 70% ao longo da vida, e fundamenta tanto estratégias de redução de risco quanto terapias-alvo (inibidores de PARP). A Figura 1 sintetiza esse mecanismo.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156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sease_mechani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56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1.</w:t>
      </w:r>
      <w:r>
        <w:rPr>
          <w:rFonts w:ascii="Arial" w:hAnsi="Arial"/>
          <w:i/>
          <w:sz w:val="20"/>
        </w:rPr>
        <w:t xml:space="preserve"> Mecanismo biológico que conecta as proteínas BRCA1/BRCA2 ao câncer hereditário de mama e ovário (HBOC). À esquerda (verde), em uma célula com BRCA1/BRCA2 funcionais, uma quebra de dupla fita no DNA é reparada com fidelidade pela via de recombinação homóloga (RH) — na qual essas proteínas recrutam a recombinase RAD51 —, mantendo a estabilidade genômica e protegendo contra o câncer. À direita (vermelho), uma variante patogênica germinativa (por exemplo, Cys61Gly no domínio RING ou Met1775Arg no domínio BRCT do BRCA1) compromete um domínio funcional crítico, tornando a RH deficiente; o DNA passa a ser reparado por vias propensas a erro, com acúmulo de mutações, instabilidade genômica e, por fim, tumorigênese. A penetrância é elevada (risco cumulativo de câncer de mama de ~45–72% e de ovário de ~11–44% ao longo da vida em portadoras de BRCA1/BRCA2) e a deficiência de RH é explorada terapeuticamente por inibidores de PARP (letalidade sintética). Este é o contexto clínico que torna crítica a classificação precisa das variantes.</w:t>
      </w:r>
    </w:p>
    <w:p>
      <w:pPr>
        <w:jc w:val="both"/>
      </w:pPr>
      <w:r>
        <w:rPr>
          <w:rFonts w:ascii="Arial" w:hAnsi="Arial"/>
        </w:rPr>
        <w:t xml:space="preserve">No Brasil, esse problema é agravado por desigualdade de acesso: a interpretação de variantes depende de expertise concentrada em poucos centros, e laboratórios públicos e universitários frequentemente carecem de ferramentas abertas, auditáveis e adaptadas à realidade nacional. Uma inteligência artificial que </w:t>
      </w:r>
      <w:r>
        <w:rPr>
          <w:rFonts w:ascii="Arial" w:hAnsi="Arial"/>
          <w:b/>
        </w:rPr>
        <w:t>acelere e organize</w:t>
      </w:r>
      <w:r>
        <w:rPr>
          <w:rFonts w:ascii="Arial" w:hAnsi="Arial"/>
        </w:rPr>
        <w:t xml:space="preserve"> a interpretação de variantes — sem substituir o julgamento humano — tem potencial de impacto direto na formação de pesquisadores e no apoio à medicina de precisão pública.</w:t>
      </w:r>
    </w:p>
    <w:p>
      <w:pPr>
        <w:pStyle w:val="Heading2"/>
      </w:pPr>
      <w:r>
        <w:t>1.2 A lacuna metodológica</w:t>
      </w:r>
    </w:p>
    <w:p>
      <w:pPr>
        <w:jc w:val="both"/>
      </w:pPr>
      <w:r>
        <w:rPr>
          <w:rFonts w:ascii="Arial" w:hAnsi="Arial"/>
        </w:rPr>
        <w:t xml:space="preserve">Preditores computacionais de patogenicidade existem (REVEL, CADD, AlphaMissense, entre outros), mas muitos benchmarks sofrem de dois problemas recorrentes: </w:t>
      </w:r>
      <w:r>
        <w:rPr>
          <w:rFonts w:ascii="Arial" w:hAnsi="Arial"/>
          <w:b/>
        </w:rPr>
        <w:t>(i) vazamento de dados</w:t>
      </w:r>
      <w:r>
        <w:rPr>
          <w:rFonts w:ascii="Arial" w:hAnsi="Arial"/>
        </w:rPr>
        <w:t xml:space="preserve">, quando o modelo aprende atalhos que não se sustentam fora do conjunto de treino, e </w:t>
      </w:r>
      <w:r>
        <w:rPr>
          <w:rFonts w:ascii="Arial" w:hAnsi="Arial"/>
          <w:b/>
        </w:rPr>
        <w:t>(ii) falta de validação externa independente</w:t>
      </w:r>
      <w:r>
        <w:rPr>
          <w:rFonts w:ascii="Arial" w:hAnsi="Arial"/>
        </w:rPr>
        <w:t xml:space="preserve">, superestimando o desempenho real. Um sistema competitivo e cientificamente sólido precisa demonstrar não o melhor número em um teste interno, mas </w:t>
      </w:r>
      <w:r>
        <w:rPr>
          <w:rFonts w:ascii="Arial" w:hAnsi="Arial"/>
          <w:b/>
        </w:rPr>
        <w:t>generalização honesta</w:t>
      </w:r>
      <w:r>
        <w:rPr>
          <w:rFonts w:ascii="Arial" w:hAnsi="Arial"/>
        </w:rPr>
        <w:t xml:space="preserve"> para dados nunca vistos.</w:t>
      </w:r>
    </w:p>
    <w:p>
      <w:pPr>
        <w:pStyle w:val="Heading2"/>
      </w:pPr>
      <w:r>
        <w:t>1.3 Estado da arte: preditores de patogenicidade e o problema do vazamento</w:t>
      </w:r>
    </w:p>
    <w:p>
      <w:pPr>
        <w:jc w:val="both"/>
      </w:pPr>
      <w:r>
        <w:rPr>
          <w:rFonts w:ascii="Arial" w:hAnsi="Arial"/>
        </w:rPr>
        <w:t xml:space="preserve">O campo da predição computacional de patogenicidade evoluiu de escores de conservação isolados para </w:t>
      </w:r>
      <w:r>
        <w:rPr>
          <w:rFonts w:ascii="Arial" w:hAnsi="Arial"/>
          <w:i/>
        </w:rPr>
        <w:t>meta-preditores</w:t>
      </w:r>
      <w:r>
        <w:rPr>
          <w:rFonts w:ascii="Arial" w:hAnsi="Arial"/>
        </w:rPr>
        <w:t xml:space="preserve"> e modelos de aprendizado profundo. Métodos de conjunto como o </w:t>
      </w:r>
      <w:r>
        <w:rPr>
          <w:rFonts w:ascii="Arial" w:hAnsi="Arial"/>
          <w:b/>
        </w:rPr>
        <w:t>REVEL</w:t>
      </w:r>
      <w:r>
        <w:rPr>
          <w:rFonts w:ascii="Arial" w:hAnsi="Arial"/>
        </w:rPr>
        <w:t xml:space="preserve"> (Ioannidis et al., 2016) e escores integrativos como o </w:t>
      </w:r>
      <w:r>
        <w:rPr>
          <w:rFonts w:ascii="Arial" w:hAnsi="Arial"/>
          <w:b/>
        </w:rPr>
        <w:t>CADD</w:t>
      </w:r>
      <w:r>
        <w:rPr>
          <w:rFonts w:ascii="Arial" w:hAnsi="Arial"/>
        </w:rPr>
        <w:t xml:space="preserve"> (Rentzsch et al., 2019) combinam dezenas de anotações; avaliações independentes indicam que REVEL e BayesDel frequentemente superam preditores individuais na classificação clínica (Tian et al., 2019). Mais recentemente, o </w:t>
      </w:r>
      <w:r>
        <w:rPr>
          <w:rFonts w:ascii="Arial" w:hAnsi="Arial"/>
          <w:b/>
        </w:rPr>
        <w:t>AlphaMissense</w:t>
      </w:r>
      <w:r>
        <w:rPr>
          <w:rFonts w:ascii="Arial" w:hAnsi="Arial"/>
        </w:rPr>
        <w:t xml:space="preserve"> (Cheng et al., 2023) estendeu a predição a todo o proteoma humano com desempenho de referência. Especificamente para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BRCA-ML</w:t>
      </w:r>
      <w:r>
        <w:rPr>
          <w:rFonts w:ascii="Arial" w:hAnsi="Arial"/>
        </w:rPr>
        <w:t xml:space="preserve"> (Hart et al., 2020) e abordagens de aprendizado de máquina para reclassificação de VUS (RENOVO; Favalli et al., 2021) demonstraram utilidade, e recursos como a análise multifatorial da ENIGMA (Parsons et al., 2019) fornecem rótulos quantitativos de alta confiança. Ensaios funcionais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por recombinação homóloga (Toland; Andreassen, 2017) — vêm reduzindo a incerteza sobre variantes específicas.</w:t>
      </w:r>
    </w:p>
    <w:p>
      <w:pPr>
        <w:jc w:val="both"/>
      </w:pPr>
      <w:r>
        <w:rPr>
          <w:rFonts w:ascii="Arial" w:hAnsi="Arial"/>
        </w:rPr>
        <w:t xml:space="preserve">Dois desafios, porém, atravessam a literatura. O primeiro é a </w:t>
      </w:r>
      <w:r>
        <w:rPr>
          <w:rFonts w:ascii="Arial" w:hAnsi="Arial"/>
          <w:b/>
        </w:rPr>
        <w:t>calibração</w:t>
      </w:r>
      <w:r>
        <w:rPr>
          <w:rFonts w:ascii="Arial" w:hAnsi="Arial"/>
        </w:rPr>
        <w:t xml:space="preserve">: o ClinGen (Pejaver et al., 2022) mostrou que os escores brutos dos preditores precisam ser calibrados para serem usados como evidência na estrutura ACMG/AMP (Richards et al., 2015). O segundo, menos discutido mas crítico, é o </w:t>
      </w:r>
      <w:r>
        <w:rPr>
          <w:rFonts w:ascii="Arial" w:hAnsi="Arial"/>
          <w:b/>
        </w:rPr>
        <w:t>vazamento de dados</w:t>
      </w:r>
      <w:r>
        <w:rPr>
          <w:rFonts w:ascii="Arial" w:hAnsi="Arial"/>
        </w:rPr>
        <w:t xml:space="preserve"> e a </w:t>
      </w:r>
      <w:r>
        <w:rPr>
          <w:rFonts w:ascii="Arial" w:hAnsi="Arial"/>
          <w:b/>
        </w:rPr>
        <w:t>superestimação por validação inadequada</w:t>
      </w:r>
      <w:r>
        <w:rPr>
          <w:rFonts w:ascii="Arial" w:hAnsi="Arial"/>
        </w:rPr>
        <w:t xml:space="preserve">, um problema reconhecido na modelagem preditiva clínica em geral (Kernbach; Staartjes, 2022). Modelos avaliados sem separação rigorosa entre treino e teste — por posição, por gene ou por família — reportam desempenhos que não se sustentam externamente. A observação de "coldspots" sistematicamente mal classificados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 (Dines et al., 2020) e evidências recentes de que a </w:t>
      </w:r>
      <w:r>
        <w:rPr>
          <w:rFonts w:ascii="Arial" w:hAnsi="Arial"/>
          <w:b/>
        </w:rPr>
        <w:t>restrição evolutiva em resolução de domínio</w:t>
      </w:r>
      <w:r>
        <w:rPr>
          <w:rFonts w:ascii="Arial" w:hAnsi="Arial"/>
        </w:rPr>
        <w:t xml:space="preserve"> melhora a priorização (Zhang et al., 2024; Torretto et al., 2026) motivam diretamente a abordagem consciente de domínio deste trabalho. É nesse ponto — rigor de validação e sinal de origem biológica explícita — que buscamos contribuir.</w:t>
      </w:r>
    </w:p>
    <w:p>
      <w:pPr>
        <w:pStyle w:val="Heading2"/>
      </w:pPr>
      <w:r>
        <w:t>1.4 A jornada científica deste trabalho</w:t>
      </w:r>
    </w:p>
    <w:p>
      <w:pPr>
        <w:jc w:val="both"/>
      </w:pPr>
      <w:r>
        <w:rPr>
          <w:rFonts w:ascii="Arial" w:hAnsi="Arial"/>
        </w:rPr>
        <w:t xml:space="preserve">Este projeto nasceu de uma hipótese original e arrojada: e se a estrutura dos </w:t>
      </w:r>
      <w:r>
        <w:rPr>
          <w:rFonts w:ascii="Arial" w:hAnsi="Arial"/>
          <w:b/>
        </w:rPr>
        <w:t>números primos</w:t>
      </w:r>
      <w:r>
        <w:rPr>
          <w:rFonts w:ascii="Arial" w:hAnsi="Arial"/>
        </w:rPr>
        <w:t xml:space="preserve"> — objetos matemáticos com propriedades de distribuição não triviais — pudesse codificar aminoácidos de forma a revelar padrões de patogenicidade? A ideia dá nome ao sistema (</w:t>
      </w:r>
      <w:r>
        <w:rPr>
          <w:rFonts w:ascii="Arial" w:hAnsi="Arial"/>
          <w:i/>
        </w:rPr>
        <w:t>PrimeVarClass</w:t>
      </w:r>
      <w:r>
        <w:rPr>
          <w:rFonts w:ascii="Arial" w:hAnsi="Arial"/>
        </w:rPr>
        <w:t xml:space="preserve">). Em vez de tratá-la como verdade a ser defendida, nós a tratamos como </w:t>
      </w:r>
      <w:r>
        <w:rPr>
          <w:rFonts w:ascii="Arial" w:hAnsi="Arial"/>
          <w:b/>
        </w:rPr>
        <w:t>hipótese a ser testada</w:t>
      </w:r>
      <w:r>
        <w:rPr>
          <w:rFonts w:ascii="Arial" w:hAnsi="Arial"/>
        </w:rPr>
        <w:t xml:space="preserve">. Este manuscrito relata honestamente esse teste, seu </w:t>
      </w:r>
      <w:r>
        <w:rPr>
          <w:rFonts w:ascii="Arial" w:hAnsi="Arial"/>
          <w:b/>
        </w:rPr>
        <w:t>resultado negativo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diagnóstico</w:t>
      </w:r>
      <w:r>
        <w:rPr>
          <w:rFonts w:ascii="Arial" w:hAnsi="Arial"/>
        </w:rPr>
        <w:t xml:space="preserve"> que ele possibilitou, e a </w:t>
      </w:r>
      <w:r>
        <w:rPr>
          <w:rFonts w:ascii="Arial" w:hAnsi="Arial"/>
          <w:b/>
        </w:rPr>
        <w:t>solução generalizável</w:t>
      </w:r>
      <w:r>
        <w:rPr>
          <w:rFonts w:ascii="Arial" w:hAnsi="Arial"/>
        </w:rPr>
        <w:t xml:space="preserve"> que dele emergiu. Sustentamos que essa trajetória — hipótese ousada, teste rigoroso, refutação transparente e modelo validado — é, em si, a contribuição científica mais valiosa e mais alinhada ao espírito da ciência.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rFonts w:ascii="Arial" w:hAnsi="Arial"/>
        </w:rPr>
        <w:t xml:space="preserve">1. Testar de forma controlada se a codificação por números primos melhora a classificação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>.</w:t>
      </w:r>
    </w:p>
    <w:p>
      <w:pPr>
        <w:jc w:val="both"/>
      </w:pPr>
      <w:r>
        <w:rPr>
          <w:rFonts w:ascii="Arial" w:hAnsi="Arial"/>
        </w:rPr>
        <w:t>2. Investigar e quantificar o efeito de vazamento posicional em benchmarks internos.</w:t>
      </w:r>
    </w:p>
    <w:p>
      <w:pPr>
        <w:jc w:val="both"/>
      </w:pPr>
      <w:r>
        <w:rPr>
          <w:rFonts w:ascii="Arial" w:hAnsi="Arial"/>
        </w:rPr>
        <w:t xml:space="preserve">3. Desenvolver e </w:t>
      </w:r>
      <w:r>
        <w:rPr>
          <w:rFonts w:ascii="Arial" w:hAnsi="Arial"/>
          <w:b/>
        </w:rPr>
        <w:t>validar externamente</w:t>
      </w:r>
      <w:r>
        <w:rPr>
          <w:rFonts w:ascii="Arial" w:hAnsi="Arial"/>
        </w:rPr>
        <w:t xml:space="preserve"> um classificador consciente de domínio funcional que generalize para coortes independentes.</w:t>
      </w:r>
    </w:p>
    <w:p>
      <w:pPr>
        <w:jc w:val="both"/>
      </w:pPr>
      <w:r>
        <w:rPr>
          <w:rFonts w:ascii="Arial" w:hAnsi="Arial"/>
        </w:rPr>
        <w:t>4. Entregar o sistema de forma reprodutível, explicável e eticamente responsável, com aplicação concreta ao contexto brasileiro de saúde e pesquisa.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Fontes de dados (reais e públicas)</w:t>
      </w:r>
    </w:p>
    <w:p>
      <w:pPr>
        <w:jc w:val="both"/>
      </w:pPr>
      <w:r>
        <w:rPr>
          <w:rFonts w:ascii="Arial" w:hAnsi="Arial"/>
        </w:rPr>
        <w:t xml:space="preserve">Utilizamos exclusivamente dados públicos e auditáveis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de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(UniProt P38398)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(UniProt P51587), conforme a base de dados UniProt (UniProt Consortium, 2023):</w:t>
      </w:r>
    </w:p>
    <w:p>
      <w:pPr>
        <w:pStyle w:val="ListBullet"/>
      </w:pPr>
      <w:r>
        <w:rPr>
          <w:rFonts w:ascii="Arial" w:hAnsi="Arial"/>
          <w:b/>
        </w:rPr>
        <w:t>ClinVar</w:t>
      </w:r>
      <w:r>
        <w:rPr>
          <w:rFonts w:ascii="Arial" w:hAnsi="Arial"/>
        </w:rPr>
        <w:t xml:space="preserve"> — classificações clínicas, com subconjunto de alta confiança revisado por painel de especialistas (ENIGMA/ClinGen).</w:t>
      </w:r>
    </w:p>
    <w:p>
      <w:pPr>
        <w:pStyle w:val="ListBullet"/>
      </w:pPr>
      <w:r>
        <w:rPr>
          <w:rFonts w:ascii="Arial" w:hAnsi="Arial"/>
          <w:b/>
        </w:rPr>
        <w:t>gnomAD</w:t>
      </w:r>
      <w:r>
        <w:rPr>
          <w:rFonts w:ascii="Arial" w:hAnsi="Arial"/>
        </w:rPr>
        <w:t xml:space="preserve"> — frequências alélicas populacionais (Karczewski et al., 2020).</w:t>
      </w:r>
    </w:p>
    <w:p>
      <w:pPr>
        <w:pStyle w:val="ListBullet"/>
      </w:pPr>
      <w:r>
        <w:rPr>
          <w:rFonts w:ascii="Arial" w:hAnsi="Arial"/>
          <w:b/>
        </w:rPr>
        <w:t>Coortes externas independentes</w:t>
      </w:r>
      <w:r>
        <w:rPr>
          <w:rFonts w:ascii="Arial" w:hAnsi="Arial"/>
        </w:rPr>
        <w:t xml:space="preserve"> — variantes classificadas por especialistas de BRCA1 e BRCA2, mantidas estritamente separadas do conjunto de treino para validação de generalização.</w:t>
      </w:r>
    </w:p>
    <w:p>
      <w:pPr>
        <w:jc w:val="both"/>
      </w:pPr>
      <w:r>
        <w:rPr>
          <w:rFonts w:ascii="Arial" w:hAnsi="Arial"/>
        </w:rPr>
        <w:t xml:space="preserve">Rótulos foram normalizados em patogênico (1) vs benigno (0); classificações conflitantes ou de baixa confiança foram excluídas. Conjunto de treino: </w:t>
      </w:r>
      <w:r>
        <w:rPr>
          <w:rFonts w:ascii="Arial" w:hAnsi="Arial"/>
          <w:b/>
        </w:rPr>
        <w:t>n = 869</w:t>
      </w:r>
      <w:r>
        <w:rPr>
          <w:rFonts w:ascii="Arial" w:hAnsi="Arial"/>
        </w:rPr>
        <w:t xml:space="preserve">; conjunto externo: </w:t>
      </w:r>
      <w:r>
        <w:rPr>
          <w:rFonts w:ascii="Arial" w:hAnsi="Arial"/>
          <w:b/>
        </w:rPr>
        <w:t>n = 836</w:t>
      </w:r>
      <w:r>
        <w:rPr>
          <w:rFonts w:ascii="Arial" w:hAnsi="Arial"/>
        </w:rPr>
        <w:t>.</w:t>
      </w:r>
    </w:p>
    <w:p>
      <w:pPr>
        <w:pStyle w:val="Heading2"/>
      </w:pPr>
      <w:r>
        <w:t>2.2 Representações de variante (características)</w:t>
      </w:r>
    </w:p>
    <w:p>
      <w:pPr>
        <w:jc w:val="both"/>
      </w:pPr>
      <w:r>
        <w:rPr>
          <w:rFonts w:ascii="Arial" w:hAnsi="Arial"/>
        </w:rPr>
        <w:t>Cada substituição de aminoácido foi representada por famílias de características:</w:t>
      </w:r>
    </w:p>
    <w:p>
      <w:pPr>
        <w:pStyle w:val="ListBullet"/>
      </w:pPr>
      <w:r>
        <w:rPr>
          <w:rFonts w:ascii="Arial" w:hAnsi="Arial"/>
          <w:b/>
        </w:rPr>
        <w:t>Bioquímicas</w:t>
      </w:r>
      <w:r>
        <w:rPr>
          <w:rFonts w:ascii="Arial" w:hAnsi="Arial"/>
        </w:rPr>
        <w:t>: variações de massa, hidrofobicidade, carga, polaridade, aromaticidade, mudança de classe química e escore de severidade bioquímica.</w:t>
      </w:r>
    </w:p>
    <w:p>
      <w:pPr>
        <w:pStyle w:val="ListBullet"/>
      </w:pPr>
      <w:r>
        <w:rPr>
          <w:rFonts w:ascii="Arial" w:hAnsi="Arial"/>
          <w:b/>
        </w:rPr>
        <w:t>Hipótese dos primos</w:t>
      </w:r>
      <w:r>
        <w:rPr>
          <w:rFonts w:ascii="Arial" w:hAnsi="Arial"/>
        </w:rPr>
        <w:t>: aminoácidos mapeados a números primos, com derivações (razões, diferenças, densidade local, lacunas entre primos, resíduos módulo, etc.).</w:t>
      </w:r>
    </w:p>
    <w:p>
      <w:pPr>
        <w:pStyle w:val="ListBullet"/>
      </w:pPr>
      <w:r>
        <w:rPr>
          <w:rFonts w:ascii="Arial" w:hAnsi="Arial"/>
          <w:b/>
        </w:rPr>
        <w:t>Identidade</w:t>
      </w:r>
      <w:r>
        <w:rPr>
          <w:rFonts w:ascii="Arial" w:hAnsi="Arial"/>
        </w:rPr>
        <w:t>: codificação categórica direta (gene, aminoácido de referência, aminoácido alternativo).</w:t>
      </w:r>
    </w:p>
    <w:p>
      <w:pPr>
        <w:pStyle w:val="ListBullet"/>
      </w:pPr>
      <w:r>
        <w:rPr>
          <w:rFonts w:ascii="Arial" w:hAnsi="Arial"/>
          <w:b/>
        </w:rPr>
        <w:t>Domínio funcional</w:t>
      </w:r>
      <w:r>
        <w:rPr>
          <w:rFonts w:ascii="Arial" w:hAnsi="Arial"/>
        </w:rPr>
        <w:t xml:space="preserve"> (proposta deste trabalho): rótulo categórico do domínio UniProt e indicador binário de domínio crítico (ver 2.4).</w:t>
      </w:r>
    </w:p>
    <w:p>
      <w:pPr>
        <w:pStyle w:val="ListBullet"/>
      </w:pPr>
      <w:r>
        <w:rPr>
          <w:rFonts w:ascii="Arial" w:hAnsi="Arial"/>
          <w:b/>
        </w:rPr>
        <w:t>Preditores externos</w:t>
      </w:r>
      <w:r>
        <w:rPr>
          <w:rFonts w:ascii="Arial" w:hAnsi="Arial"/>
        </w:rPr>
        <w:t xml:space="preserve"> (apenas como referência): quando disponíveis.</w:t>
      </w:r>
    </w:p>
    <w:p>
      <w:pPr>
        <w:pStyle w:val="Heading2"/>
      </w:pPr>
      <w:r>
        <w:t>2.3 O teste da hipótese dos primos</w:t>
      </w:r>
    </w:p>
    <w:p>
      <w:pPr>
        <w:jc w:val="both"/>
      </w:pPr>
      <w:r>
        <w:rPr>
          <w:rFonts w:ascii="Arial" w:hAnsi="Arial"/>
        </w:rPr>
        <w:t xml:space="preserve">Para avaliar a hipótese de forma justa, comparamos, sob </w:t>
      </w:r>
      <w:r>
        <w:rPr>
          <w:rFonts w:ascii="Arial" w:hAnsi="Arial"/>
          <w:b/>
        </w:rPr>
        <w:t>o mesmo classificador e o mesmo protocolo de validação</w:t>
      </w:r>
      <w:r>
        <w:rPr>
          <w:rFonts w:ascii="Arial" w:hAnsi="Arial"/>
        </w:rPr>
        <w:t xml:space="preserve">, conjuntos de características isolados: apenas-primos, apenas-bioquímico, apenas-identidade, e combinações (híbrido). A pergunta central foi operacionalizada em comparações pareadas: </w:t>
      </w:r>
      <w:r>
        <w:rPr>
          <w:rFonts w:ascii="Arial" w:hAnsi="Arial"/>
          <w:i/>
        </w:rPr>
        <w:t>os primos superam a identidade simples?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adicionar primos a um modelo bioquímico ajuda?</w:t>
      </w:r>
    </w:p>
    <w:p>
      <w:pPr>
        <w:pStyle w:val="Heading2"/>
      </w:pPr>
      <w:r>
        <w:t>2.4 Anotação de domínio funcional (UniProt)</w:t>
      </w:r>
    </w:p>
    <w:p>
      <w:pPr>
        <w:jc w:val="both"/>
      </w:pPr>
      <w:r>
        <w:rPr>
          <w:rFonts w:ascii="Arial" w:hAnsi="Arial"/>
        </w:rPr>
        <w:t>Mapeamos cada posição de resíduo aos domínios funcionais curados das proteínas:</w:t>
      </w:r>
    </w:p>
    <w:p>
      <w:pPr>
        <w:pStyle w:val="ListBullet"/>
      </w:pPr>
      <w:r>
        <w:rPr>
          <w:rFonts w:ascii="Arial" w:hAnsi="Arial"/>
          <w:b/>
        </w:rPr>
        <w:t>BRCA1 (P38398)</w:t>
      </w:r>
      <w:r>
        <w:rPr>
          <w:rFonts w:ascii="Arial" w:hAnsi="Arial"/>
        </w:rPr>
        <w:t xml:space="preserve">: domínio RING (1–109; ligação a BARD1, E3-ligase) e as repetições BRCT (1642–1736 e 1756–1855) como regiões </w:t>
      </w:r>
      <w:r>
        <w:rPr>
          <w:rFonts w:ascii="Arial" w:hAnsi="Arial"/>
          <w:b/>
        </w:rPr>
        <w:t>críticas</w:t>
      </w:r>
      <w:r>
        <w:rPr>
          <w:rFonts w:ascii="Arial" w:hAnsi="Arial"/>
        </w:rPr>
        <w:t xml:space="preserve">; domínios SCD e </w:t>
      </w:r>
      <w:r>
        <w:rPr>
          <w:rFonts w:ascii="Arial" w:hAnsi="Arial"/>
          <w:i/>
        </w:rPr>
        <w:t>coiled-coil</w:t>
      </w:r>
      <w:r>
        <w:rPr>
          <w:rFonts w:ascii="Arial" w:hAnsi="Arial"/>
        </w:rPr>
        <w:t xml:space="preserve"> de ligação a PALB2 como não críticos.</w:t>
      </w:r>
    </w:p>
    <w:p>
      <w:pPr>
        <w:pStyle w:val="ListBullet"/>
      </w:pPr>
      <w:r>
        <w:rPr>
          <w:rFonts w:ascii="Arial" w:hAnsi="Arial"/>
          <w:b/>
        </w:rPr>
        <w:t>BRCA2 (P51587)</w:t>
      </w:r>
      <w:r>
        <w:rPr>
          <w:rFonts w:ascii="Arial" w:hAnsi="Arial"/>
        </w:rPr>
        <w:t xml:space="preserve">: domínio de ligação ao DNA (DBD: helicoidal 2481–2667 e três folhas OB até 3186) como região </w:t>
      </w:r>
      <w:r>
        <w:rPr>
          <w:rFonts w:ascii="Arial" w:hAnsi="Arial"/>
          <w:b/>
        </w:rPr>
        <w:t>crítica</w:t>
      </w:r>
      <w:r>
        <w:rPr>
          <w:rFonts w:ascii="Arial" w:hAnsi="Arial"/>
        </w:rPr>
        <w:t>; repetições BRC de ligação a RAD51 e demais regiões como não críticas.</w:t>
      </w:r>
    </w:p>
    <w:p>
      <w:pPr>
        <w:jc w:val="both"/>
      </w:pPr>
      <w:r>
        <w:rPr>
          <w:rFonts w:ascii="Arial" w:hAnsi="Arial"/>
        </w:rPr>
        <w:t xml:space="preserve">Definimos duas características: </w:t>
      </w:r>
      <w:r>
        <w:rPr>
          <w:rFonts w:ascii="Consolas" w:hAnsi="Consolas"/>
        </w:rPr>
        <w:t>functional_domain</w:t>
      </w:r>
      <w:r>
        <w:rPr>
          <w:rFonts w:ascii="Arial" w:hAnsi="Arial"/>
        </w:rPr>
        <w:t xml:space="preserve"> (categórica) e 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 xml:space="preserve"> (binária). O ponto essencial é que essas características são funções de </w:t>
      </w:r>
      <w:r>
        <w:rPr>
          <w:rFonts w:ascii="Arial" w:hAnsi="Arial"/>
          <w:b/>
        </w:rPr>
        <w:t>região</w:t>
      </w:r>
      <w:r>
        <w:rPr>
          <w:rFonts w:ascii="Arial" w:hAnsi="Arial"/>
        </w:rPr>
        <w:t>, não do índice único do resíduo — portanto codificam biologia transferível em vez de memorizar quais posições exatas foram patogênicas no treino.</w:t>
      </w:r>
    </w:p>
    <w:p>
      <w:pPr>
        <w:jc w:val="both"/>
      </w:pPr>
      <w:r>
        <w:rPr>
          <w:rFonts w:ascii="Arial" w:hAnsi="Arial"/>
        </w:rPr>
        <w:t>As proteínas-alvo e seus domínios funcionais são apresentados na Figura 2, a partir de estruturas experimentais reais depositadas no Protein Data Bank (PDB).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289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289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2.</w:t>
      </w:r>
      <w:r>
        <w:rPr>
          <w:rFonts w:ascii="Arial" w:hAnsi="Arial"/>
          <w:i/>
          <w:sz w:val="20"/>
        </w:rPr>
        <w:t xml:space="preserve"> Estruturas tridimensionais experimentais das proteínas-alvo, em representação de </w:t>
      </w:r>
      <w:r>
        <w:rPr>
          <w:rFonts w:ascii="Arial" w:hAnsi="Arial"/>
          <w:i/>
          <w:sz w:val="20"/>
        </w:rPr>
        <w:t>cartoon</w:t>
      </w:r>
      <w:r>
        <w:rPr>
          <w:rFonts w:ascii="Arial" w:hAnsi="Arial"/>
          <w:i/>
          <w:sz w:val="20"/>
        </w:rPr>
        <w:t xml:space="preserve"> (coordenadas reais do Protein Data Bank, renderizadas com PyMOL open-source). </w:t>
      </w:r>
      <w:r>
        <w:rPr>
          <w:rFonts w:ascii="Arial" w:hAnsi="Arial"/>
          <w:b/>
          <w:i/>
          <w:sz w:val="20"/>
        </w:rPr>
        <w:t>BRCA1 — domínio RING</w:t>
      </w:r>
      <w:r>
        <w:rPr>
          <w:rFonts w:ascii="Arial" w:hAnsi="Arial"/>
          <w:i/>
          <w:sz w:val="20"/>
        </w:rPr>
        <w:t xml:space="preserve"> (PDB 1JM7): heterodímero BRCA1 (verde) / BARD1 (ciano); os íons de zinco (esferas roxas) são coordenados por cisteínas (bastões vermelhos) que formam o núcleo estrutural do domínio — região onde se concentram variantes patogênicas de perda de função (por exemplo, Cys61 e Cys64). </w:t>
      </w:r>
      <w:r>
        <w:rPr>
          <w:rFonts w:ascii="Arial" w:hAnsi="Arial"/>
          <w:b/>
          <w:i/>
          <w:sz w:val="20"/>
        </w:rPr>
        <w:t>BRCA1 — repetições BRCT</w:t>
      </w:r>
      <w:r>
        <w:rPr>
          <w:rFonts w:ascii="Arial" w:hAnsi="Arial"/>
          <w:i/>
          <w:sz w:val="20"/>
        </w:rPr>
        <w:t xml:space="preserve"> (PDB 1JNX): domínio crítico C-terminal de reconhecimento de fosfopeptídeos (coloração do N-terminal, azul, ao C-terminal, vermelho). </w:t>
      </w:r>
      <w:r>
        <w:rPr>
          <w:rFonts w:ascii="Arial" w:hAnsi="Arial"/>
          <w:b/>
          <w:i/>
          <w:sz w:val="20"/>
        </w:rPr>
        <w:t>BRCA2 — domínio de ligação ao DNA</w:t>
      </w:r>
      <w:r>
        <w:rPr>
          <w:rFonts w:ascii="Arial" w:hAnsi="Arial"/>
          <w:i/>
          <w:sz w:val="20"/>
        </w:rPr>
        <w:t xml:space="preserve"> (PDB 1MJE): BRCA2 (verde) em complexo com DSS1 (ciano) e ssDNA (laranja), conforme Yang et al. (2002). As três regiões em destaque são os domínios funcionais críticos usados pelo modelo consciente de domínio.</w:t>
      </w:r>
    </w:p>
    <w:p>
      <w:pPr>
        <w:jc w:val="both"/>
      </w:pPr>
      <w:r>
        <w:rPr>
          <w:rFonts w:ascii="Arial" w:hAnsi="Arial"/>
        </w:rPr>
        <w:t>A importância dessas regiões torna-se evidente ao observar o efeito estrutural de variantes patogênicas conhecidas (Figura 3). No domínio RING, cisteínas como Cys61 e Cys64 coordenam um íon de zinco estrutural; substituições como p.Cys61Gly e p.Cys64Gly removem esses ligantes, colapsam o domínio e abolem a atividade de E3-ligase e a interação com BARD1. No domínio BRCT, a variante p.Met1775Arg desestabiliza a interface entre as duas repetições e prejudica o reconhecimento de fosfopeptídeos. Ou seja, as mutações patogênicas danificam precisamente as regiões que o modelo consciente de domínio identifica como críticas — a base biológica que sustenta a abordagem.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9969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riants_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99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3.</w:t>
      </w:r>
      <w:r>
        <w:rPr>
          <w:rFonts w:ascii="Arial" w:hAnsi="Arial"/>
          <w:i/>
          <w:sz w:val="20"/>
        </w:rPr>
        <w:t xml:space="preserve"> Consequência estrutural, em três dimensões, de duas variantes patogênicas de BRCA1 que o classificador-carro-chefe pontua como deletérias — renderizadas a partir de coordenadas experimentais reais do Protein Data Bank (PyMOL open-source; sem átomos modelados ou fabricados). </w:t>
      </w:r>
      <w:r>
        <w:rPr>
          <w:rFonts w:ascii="Arial" w:hAnsi="Arial"/>
          <w:b/>
          <w:i/>
          <w:sz w:val="20"/>
        </w:rPr>
        <w:t>(A) p.Cys61Gly — domínio RING (PDB 1JM7).</w:t>
      </w:r>
      <w:r>
        <w:rPr>
          <w:rFonts w:ascii="Arial" w:hAnsi="Arial"/>
          <w:i/>
          <w:sz w:val="20"/>
        </w:rPr>
        <w:t xml:space="preserve"> A cadeia lateral nativa da Cys61 (bastões verdes; enxofre em amarelo) coordena, pelo grupo tiol, um íon de zinco estrutural (esfera azul; ligação de coordenação tracejada), auxiliada por cisteínas vizinhas (laranja). A substituição por glicina remove o tiol coordenante: o zinco é liberado, o dobramento do RING colapsa e a atividade de E3-ubiquitina-ligase do heterodímero BRCA1–BARD1 é abolida. </w:t>
      </w:r>
      <w:r>
        <w:rPr>
          <w:rFonts w:ascii="Arial" w:hAnsi="Arial"/>
          <w:b/>
          <w:i/>
          <w:sz w:val="20"/>
        </w:rPr>
        <w:t>(B) p.Met1775Arg — domínio BRCT.</w:t>
      </w:r>
      <w:r>
        <w:rPr>
          <w:rFonts w:ascii="Arial" w:hAnsi="Arial"/>
          <w:i/>
          <w:sz w:val="20"/>
        </w:rPr>
        <w:t xml:space="preserve"> Sobreposição estrutural verdadeira do BRCT nativo (PDB 1JNX; Met1775 em verde) e do mutante determinado experimentalmente (PDB 1N5O; Arg1775 em vermelho, nitrogênios em azul), no núcleo hidrofóbico da interface entre as duas repetições (resíduos vizinhos em cinza). A metionina nativa, compacta e apolar, é substituída por uma arginina longa e positivamente carregada que não se acomoda no núcleo do domínio, desestabilizando o dobramento e comprometendo o reconhecimento de fosfopeptídeos (parceiros como BACH1/BRIP1 e CtIP). Os escores de razão de verossimilhança logarítmica do ESM-2 (LLR; Seção 2.9) — −10,9 e −12,0, respectivamente — confirmam, de forma independente e sem rótulos, o forte sinal patogênico dessas variantes. Em ambos os casos, a mutação danifica exatamente a região funcional crítica que o modelo consciente de domínio identifica.</w:t>
      </w:r>
    </w:p>
    <w:p>
      <w:pPr>
        <w:pStyle w:val="Heading2"/>
      </w:pPr>
      <w:r>
        <w:t>2.5 Protocolo de validação anti-vazamento</w:t>
      </w:r>
    </w:p>
    <w:p>
      <w:pPr>
        <w:jc w:val="both"/>
      </w:pPr>
      <w:r>
        <w:rPr>
          <w:rFonts w:ascii="Arial" w:hAnsi="Arial"/>
        </w:rPr>
        <w:t>Adotamos dois níveis de avaliação:</w:t>
      </w:r>
    </w:p>
    <w:p>
      <w:pPr>
        <w:pStyle w:val="ListBullet"/>
      </w:pPr>
      <w:r>
        <w:rPr>
          <w:rFonts w:ascii="Arial" w:hAnsi="Arial"/>
          <w:b/>
        </w:rPr>
        <w:t>(A) Validação cruzada bloqueada por posição</w:t>
      </w:r>
      <w:r>
        <w:rPr>
          <w:rFonts w:ascii="Arial" w:hAnsi="Arial"/>
        </w:rPr>
        <w:t xml:space="preserve"> (StratifiedGroupKFold, 5 </w:t>
      </w:r>
      <w:r>
        <w:rPr>
          <w:rFonts w:ascii="Arial" w:hAnsi="Arial"/>
          <w:i/>
        </w:rPr>
        <w:t>folds</w:t>
      </w:r>
      <w:r>
        <w:rPr>
          <w:rFonts w:ascii="Arial" w:hAnsi="Arial"/>
        </w:rPr>
        <w:t xml:space="preserve">), em que todas as variantes de uma mesma posição ficam no mesmo </w:t>
      </w:r>
      <w:r>
        <w:rPr>
          <w:rFonts w:ascii="Arial" w:hAnsi="Arial"/>
          <w:i/>
        </w:rPr>
        <w:t>fold</w:t>
      </w:r>
      <w:r>
        <w:rPr>
          <w:rFonts w:ascii="Arial" w:hAnsi="Arial"/>
        </w:rPr>
        <w:t>. Isso impede que o modelo "veja" a mesma posição no treino e no teste, neutralizando o vazamento posicional.</w:t>
      </w:r>
    </w:p>
    <w:p>
      <w:pPr>
        <w:pStyle w:val="ListBullet"/>
      </w:pPr>
      <w:r>
        <w:rPr>
          <w:rFonts w:ascii="Arial" w:hAnsi="Arial"/>
          <w:b/>
        </w:rPr>
        <w:t>(B) Generalização externa</w:t>
      </w:r>
      <w:r>
        <w:rPr>
          <w:rFonts w:ascii="Arial" w:hAnsi="Arial"/>
        </w:rPr>
        <w:t>: treino no conjunto interno completo e teste em coortes externas independentes de especialistas.</w:t>
      </w:r>
    </w:p>
    <w:p>
      <w:pPr>
        <w:jc w:val="both"/>
      </w:pPr>
      <w:r>
        <w:rPr>
          <w:rFonts w:ascii="Arial" w:hAnsi="Arial"/>
        </w:rPr>
        <w:t xml:space="preserve">Comparações de AUC entre modelos foram feitas com o </w:t>
      </w:r>
      <w:r>
        <w:rPr>
          <w:rFonts w:ascii="Arial" w:hAnsi="Arial"/>
          <w:b/>
        </w:rPr>
        <w:t>teste pareado de DeLong</w:t>
      </w:r>
      <w:r>
        <w:rPr>
          <w:rFonts w:ascii="Arial" w:hAnsi="Arial"/>
        </w:rPr>
        <w:t xml:space="preserve"> (DeLong; DeLong; Clarke-Pearson, 1988). A métrica primária foi a AUC-ROC.</w:t>
      </w:r>
    </w:p>
    <w:p>
      <w:pPr>
        <w:pStyle w:val="Heading2"/>
      </w:pPr>
      <w:r>
        <w:t>2.6 Modelo e implementação</w:t>
      </w:r>
    </w:p>
    <w:p>
      <w:pPr>
        <w:jc w:val="both"/>
      </w:pPr>
      <w:r>
        <w:rPr>
          <w:rFonts w:ascii="Arial" w:hAnsi="Arial"/>
        </w:rPr>
        <w:t xml:space="preserve">Classificador </w:t>
      </w:r>
      <w:r>
        <w:rPr>
          <w:rFonts w:ascii="Arial" w:hAnsi="Arial"/>
          <w:i/>
        </w:rPr>
        <w:t>Random Forest</w:t>
      </w:r>
      <w:r>
        <w:rPr>
          <w:rFonts w:ascii="Arial" w:hAnsi="Arial"/>
        </w:rPr>
        <w:t xml:space="preserve"> balanceado, com codificação apropriada por tipo de característica, em </w:t>
      </w:r>
      <w:r>
        <w:rPr>
          <w:rFonts w:ascii="Arial" w:hAnsi="Arial"/>
          <w:i/>
        </w:rPr>
        <w:t>pipeline</w:t>
      </w:r>
      <w:r>
        <w:rPr>
          <w:rFonts w:ascii="Arial" w:hAnsi="Arial"/>
        </w:rPr>
        <w:t xml:space="preserve"> reprodutível (semente fixa). O sistema é implementado em Python, com testes automatizados (cobertura das características de domínio e de ingestão de escores), e disponibilizado como pacote auditável. A anotação de domínio é um módulo independente e citável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e a ingestão de escores de aprendizado profundo (ESM-2) é desacoplada do treino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sem dependência obrigatória de GPU.</w:t>
      </w:r>
    </w:p>
    <w:p>
      <w:pPr>
        <w:pStyle w:val="Heading2"/>
      </w:pPr>
      <w:r>
        <w:t>2.7 Análise de robustez (Monte Carlo)</w:t>
      </w:r>
    </w:p>
    <w:p>
      <w:pPr>
        <w:jc w:val="both"/>
      </w:pPr>
      <w:r>
        <w:rPr>
          <w:rFonts w:ascii="Arial" w:hAnsi="Arial"/>
        </w:rPr>
        <w:t>Para além da comparação pontual de AUCs, quantificamos a incerteza e a estabilidade dos resultados por quatro procedimentos, todos executados sobre os dados reais:</w:t>
      </w:r>
    </w:p>
    <w:p>
      <w:pPr>
        <w:pStyle w:val="ListBullet"/>
      </w:pPr>
      <w:r>
        <w:rPr>
          <w:rFonts w:ascii="Arial" w:hAnsi="Arial"/>
          <w:b/>
        </w:rPr>
        <w:t>Bootstrap não paramétrico</w:t>
      </w:r>
      <w:r>
        <w:rPr>
          <w:rFonts w:ascii="Arial" w:hAnsi="Arial"/>
        </w:rPr>
        <w:t xml:space="preserve"> (B = 2000 reamostragens das coortes externas) para intervalos de confiança de 95% da AUC de cada modelo e das diferenças pareadas de AUC.</w:t>
      </w:r>
    </w:p>
    <w:p>
      <w:pPr>
        <w:pStyle w:val="ListBullet"/>
      </w:pPr>
      <w:r>
        <w:rPr>
          <w:rFonts w:ascii="Arial" w:hAnsi="Arial"/>
          <w:b/>
        </w:rPr>
        <w:t>Teste de permutação</w:t>
      </w:r>
      <w:r>
        <w:rPr>
          <w:rFonts w:ascii="Arial" w:hAnsi="Arial"/>
        </w:rPr>
        <w:t xml:space="preserve"> (N = 2000): os rótulos externos são permutados aleatoriamente para construir a distribuição da AUC sob a hipótese nula de ausência de sinal, gerando um valor-p empírico.</w:t>
      </w:r>
    </w:p>
    <w:p>
      <w:pPr>
        <w:pStyle w:val="ListBullet"/>
      </w:pPr>
      <w:r>
        <w:rPr>
          <w:rFonts w:ascii="Arial" w:hAnsi="Arial"/>
          <w:b/>
        </w:rPr>
        <w:t>Validação cruzada repetida</w:t>
      </w:r>
      <w:r>
        <w:rPr>
          <w:rFonts w:ascii="Arial" w:hAnsi="Arial"/>
        </w:rPr>
        <w:t>: a validação bloqueada por posição é reexecutada com 12 sementes independentes, reportando média e desvio-padrão da AUC.</w:t>
      </w:r>
    </w:p>
    <w:p>
      <w:pPr>
        <w:pStyle w:val="ListBullet"/>
      </w:pPr>
      <w:r>
        <w:rPr>
          <w:rFonts w:ascii="Arial" w:hAnsi="Arial"/>
          <w:b/>
        </w:rPr>
        <w:t>Calibração</w:t>
      </w:r>
      <w:r>
        <w:rPr>
          <w:rFonts w:ascii="Arial" w:hAnsi="Arial"/>
        </w:rPr>
        <w:t>: escore de Brier e curva de confiabilidade (probabilidade prevista versus frequência observada) nas coortes externas.</w:t>
      </w:r>
    </w:p>
    <w:p>
      <w:pPr>
        <w:pStyle w:val="Heading2"/>
      </w:pPr>
      <w:r>
        <w:t>2.8 Meta-análise de generalização</w:t>
      </w:r>
    </w:p>
    <w:p>
      <w:pPr>
        <w:jc w:val="both"/>
      </w:pPr>
      <w:r>
        <w:rPr>
          <w:rFonts w:ascii="Arial" w:hAnsi="Arial"/>
        </w:rPr>
        <w:t xml:space="preserve">Tratamos as quatro coortes externas como estudos independentes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 heterogeneidade DerSimonian-Laird), operando sobre a AUC transformada em escala logit (com erro-padrão obtido por bootstrap e propagado pelo método delta). Reportamos a AUC agrupada, seu IC95%, a estatística Q de Cochran e o índice I² de heterogeneidade. Trata-se de uma meta-análise dos nossos próprios resultados multi-coorte; não incorporamos valores de desempenho extraídos de resumos de terceiros, evitando comparações não verificáveis.</w:t>
      </w:r>
    </w:p>
    <w:p>
      <w:pPr>
        <w:pStyle w:val="Heading2"/>
      </w:pPr>
      <w:r>
        <w:t>2.9 Escore de aprendizado profundo (ESM-2) e explicabilidade (SHAP)</w:t>
      </w:r>
    </w:p>
    <w:p>
      <w:pPr>
        <w:jc w:val="both"/>
      </w:pPr>
      <w:r>
        <w:rPr>
          <w:rFonts w:ascii="Arial" w:hAnsi="Arial"/>
        </w:rPr>
        <w:t xml:space="preserve">Cada variante foi pontuada com o modelo de linguagem de proteínas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</w:t>
      </w:r>
      <w:r>
        <w:rPr>
          <w:rFonts w:ascii="Consolas" w:hAnsi="Consolas"/>
        </w:rPr>
        <w:t>facebook/esm2_t33_650M_UR50D</w:t>
      </w:r>
      <w:r>
        <w:rPr>
          <w:rFonts w:ascii="Arial" w:hAnsi="Arial"/>
        </w:rPr>
        <w:t xml:space="preserve">, 650 milhões de parâmetros; Lin et al., 2023) por razão de verossimilhança logarítmica (LLR) </w:t>
      </w:r>
      <w:r>
        <w:rPr>
          <w:rFonts w:ascii="Arial" w:hAnsi="Arial"/>
          <w:i/>
        </w:rPr>
        <w:t>masked-marginal</w:t>
      </w:r>
      <w:r>
        <w:rPr>
          <w:rFonts w:ascii="Arial" w:hAnsi="Arial"/>
        </w:rPr>
        <w:t xml:space="preserve">: para uma posição </w:t>
      </w:r>
      <w:r>
        <w:rPr>
          <w:rFonts w:ascii="Arial" w:hAnsi="Arial"/>
          <w:i/>
        </w:rPr>
        <w:t>p</w:t>
      </w:r>
      <w:r>
        <w:rPr>
          <w:rFonts w:ascii="Arial" w:hAnsi="Arial"/>
        </w:rPr>
        <w:t xml:space="preserve">, mascaramos o resíduo e computamos log P(alt | contexto) − log P(ref | contexto). Como BRCA1 (1.863 aa) e BRCA2 (3.418 aa) excedem o contexto do modelo, cada posição é avaliada em uma </w:t>
      </w:r>
      <w:r>
        <w:rPr>
          <w:rFonts w:ascii="Arial" w:hAnsi="Arial"/>
          <w:b/>
        </w:rPr>
        <w:t>janela</w:t>
      </w:r>
      <w:r>
        <w:rPr>
          <w:rFonts w:ascii="Arial" w:hAnsi="Arial"/>
        </w:rPr>
        <w:t xml:space="preserve"> de ±511 resíduos. Os escores são ingeridos pelo módulo reprodutível 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 e expostos como a característica </w:t>
      </w:r>
      <w:r>
        <w:rPr>
          <w:rFonts w:ascii="Consolas" w:hAnsi="Consolas"/>
        </w:rPr>
        <w:t>esm2_llr</w:t>
      </w:r>
      <w:r>
        <w:rPr>
          <w:rFonts w:ascii="Arial" w:hAnsi="Arial"/>
        </w:rPr>
        <w:t xml:space="preserve"> do conjunto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. A robustez foi verificada reexecutando toda a pontuação com uma variante menor do ESM-2 (150M), obtendo LLRs fortemente correlacionados (Pearson 0,87) e conclusões idênticas. A </w:t>
      </w:r>
      <w:r>
        <w:rPr>
          <w:rFonts w:ascii="Arial" w:hAnsi="Arial"/>
          <w:b/>
        </w:rPr>
        <w:t>explicabilidade</w:t>
      </w:r>
      <w:r>
        <w:rPr>
          <w:rFonts w:ascii="Arial" w:hAnsi="Arial"/>
        </w:rPr>
        <w:t xml:space="preserve"> do modelo foi quantificada por </w:t>
      </w:r>
      <w:r>
        <w:rPr>
          <w:rFonts w:ascii="Arial" w:hAnsi="Arial"/>
          <w:b/>
        </w:rPr>
        <w:t>valores de Shapley</w:t>
      </w:r>
      <w:r>
        <w:rPr>
          <w:rFonts w:ascii="Arial" w:hAnsi="Arial"/>
        </w:rPr>
        <w:t xml:space="preserve"> (SHAP; estimador </w:t>
      </w:r>
      <w:r>
        <w:rPr>
          <w:rFonts w:ascii="Arial" w:hAnsi="Arial"/>
          <w:i/>
        </w:rPr>
        <w:t>TreeExplainer</w:t>
      </w:r>
      <w:r>
        <w:rPr>
          <w:rFonts w:ascii="Arial" w:hAnsi="Arial"/>
        </w:rPr>
        <w:t>) sobre a floresta aleatória treinada na coorte interna.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A hipótese dos números primos foi refutada</w:t>
      </w:r>
    </w:p>
    <w:p>
      <w:pPr>
        <w:jc w:val="both"/>
      </w:pPr>
      <w:r>
        <w:rPr>
          <w:rFonts w:ascii="Arial" w:hAnsi="Arial"/>
        </w:rPr>
        <w:t xml:space="preserve">Testamos a hipótese sob o mesmo protocolo anti-vazamento descrito na Seção 2.5 — validação cruzada bloqueada por posição e generalização em coortes externas independentes —, com o mesmo classificador para todos os conjuntos de características (Tabela 1). Sob esse protocolo, as características derivadas de primos tiveram desempenho </w:t>
      </w:r>
      <w:r>
        <w:rPr>
          <w:rFonts w:ascii="Arial" w:hAnsi="Arial"/>
          <w:b/>
        </w:rPr>
        <w:t>inferior</w:t>
      </w:r>
      <w:r>
        <w:rPr>
          <w:rFonts w:ascii="Arial" w:hAnsi="Arial"/>
        </w:rPr>
        <w:t xml:space="preserve"> ao de uma codificação de identidade trivial, e </w:t>
      </w:r>
      <w:r>
        <w:rPr>
          <w:rFonts w:ascii="Arial" w:hAnsi="Arial"/>
          <w:b/>
        </w:rPr>
        <w:t>pioraram</w:t>
      </w:r>
      <w:r>
        <w:rPr>
          <w:rFonts w:ascii="Arial" w:hAnsi="Arial"/>
        </w:rPr>
        <w:t xml:space="preserve"> um modelo bioquímico ao serem adicionadas.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1. Desempenho por conjunto de características na refutação da hipótese dos primos, sob o protocolo anti-vazamento (mesmo classificador e mesma amostra de treino, n = 869; ver Seção 2.5).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Conjunto de características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 xml:space="preserve">nº de </w:t>
            </w:r>
            <w:r>
              <w:rPr>
                <w:rFonts w:ascii="Arial" w:hAnsi="Arial"/>
                <w:b/>
                <w:i/>
                <w:sz w:val="20"/>
              </w:rPr>
              <w:t>features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 + posição)ᵃ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0,871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0,882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(inclui gene e posição)ᵃ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(bioquímico + primos)ᵃ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0,783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0,765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aa_alt, sem posição)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0,745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0,718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Apenas primos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0,681</w:t>
            </w:r>
          </w:p>
        </w:tc>
      </w:tr>
    </w:tbl>
    <w:p/>
    <w:p>
      <w:pPr>
        <w:jc w:val="both"/>
      </w:pPr>
      <w:r>
        <w:rPr>
          <w:rFonts w:ascii="Arial" w:hAnsi="Arial"/>
        </w:rPr>
        <w:t>ᵃ Por definição do pipeline de características, estes três conjuntos incluem o gene e a posição bruta do resíduo. O risco de memorização associado à posição é diagnosticado na Seção 3.2 e removido explicitamente no modelo proposto (Tabela 3).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2. Comparações pareadas pelo teste de DeLong (DeLong; DeLong; Clarke-Pearson, 1988), sob o mesmo protocolo anti-vazamento (Tabela 1).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Comparação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Protocolo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A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B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Δ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</w:t>
            </w:r>
          </w:p>
        </w:tc>
      </w:tr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 (sem posição)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CV bloqueada por posição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0,745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−0,028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0,081</w:t>
            </w:r>
          </w:p>
        </w:tc>
      </w:tr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 (sem posição)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Coortes externas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0,681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0,718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−0,038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0,045</w:t>
            </w:r>
          </w:p>
        </w:tc>
      </w:tr>
      <w:tr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vs apenas-bioquímicoᵇ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Coortes externas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0,765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−0,026</w:t>
            </w:r>
          </w:p>
        </w:tc>
        <w:tc>
          <w:tcPr>
            <w:tcW w:type="dxa" w:w="1569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</w:tbl>
    <w:p/>
    <w:p>
      <w:pPr>
        <w:jc w:val="both"/>
      </w:pPr>
      <w:r>
        <w:rPr>
          <w:rFonts w:ascii="Arial" w:hAnsi="Arial"/>
        </w:rPr>
        <w:t>ᵇ Ambos os conjuntos incluem igualmente gene e posição (nota da Tabela 1); a comparação isola o efeito marginal de adicionar as características derivadas de primos.</w:t>
      </w:r>
    </w:p>
    <w:p>
      <w:pPr>
        <w:jc w:val="both"/>
      </w:pPr>
      <w:r>
        <w:rPr>
          <w:rFonts w:ascii="Arial" w:hAnsi="Arial"/>
        </w:rPr>
        <w:t xml:space="preserve">Mesmo sob o protocolo mais rigoroso, os primos não superam a identidade trivial: a diferença é uma tendência não significativa na validação cruzada interna (p = 0,081), mas torna-se estatisticamente significativa no teste mais decisivo — a generalização externa (p = 0,045). E quando adicionados a um modelo bioquímico já estabelecido, os primos </w:t>
      </w:r>
      <w:r>
        <w:rPr>
          <w:rFonts w:ascii="Arial" w:hAnsi="Arial"/>
          <w:b/>
        </w:rPr>
        <w:t>pioram</w:t>
      </w:r>
      <w:r>
        <w:rPr>
          <w:rFonts w:ascii="Arial" w:hAnsi="Arial"/>
        </w:rPr>
        <w:t xml:space="preserve"> o desempenho de forma inequívoca nas coortes externas (p &lt; 0,0001). A conclusão é honesta e reprodutível: </w:t>
      </w:r>
      <w:r>
        <w:rPr>
          <w:rFonts w:ascii="Arial" w:hAnsi="Arial"/>
          <w:b/>
        </w:rPr>
        <w:t>os números primos não agregam sinal preditivo útil</w:t>
      </w:r>
      <w:r>
        <w:rPr>
          <w:rFonts w:ascii="Arial" w:hAnsi="Arial"/>
        </w:rPr>
        <w:t xml:space="preserve"> para esta tarefa; onde parecem contribuir, é por sobreposição com sinal já capturado por outras características, e sua adição introduz ruído que reduz o desempenho de generalização.</w:t>
      </w:r>
    </w:p>
    <w:p>
      <w:pPr>
        <w:pStyle w:val="Heading2"/>
      </w:pPr>
      <w:r>
        <w:t>3.2 Diagnóstico: a armadilha do vazamento posicional</w:t>
      </w:r>
    </w:p>
    <w:p>
      <w:pPr>
        <w:jc w:val="both"/>
      </w:pPr>
      <w:r>
        <w:rPr>
          <w:rFonts w:ascii="Arial" w:hAnsi="Arial"/>
        </w:rPr>
        <w:t xml:space="preserve">O motivo de adotarmos o protocolo anti-vazamento fica evidente ao isolar o papel da posição bruta do resíduo. Sob validação cruzada </w:t>
      </w:r>
      <w:r>
        <w:rPr>
          <w:rFonts w:ascii="Arial" w:hAnsi="Arial"/>
          <w:b/>
        </w:rPr>
        <w:t>ingênua</w:t>
      </w:r>
      <w:r>
        <w:rPr>
          <w:rFonts w:ascii="Arial" w:hAnsi="Arial"/>
        </w:rPr>
        <w:t xml:space="preserve"> (sem bloqueio por grupo, ainda comum na literatura), a posição usada </w:t>
      </w:r>
      <w:r>
        <w:rPr>
          <w:rFonts w:ascii="Arial" w:hAnsi="Arial"/>
          <w:b/>
        </w:rPr>
        <w:t>isoladamente</w:t>
      </w:r>
      <w:r>
        <w:rPr>
          <w:rFonts w:ascii="Arial" w:hAnsi="Arial"/>
        </w:rPr>
        <w:t xml:space="preserve"> como única característica atinge AUC de ~0,885, e o gene isolado, ~0,640 — valores artificialmente altos, pois muitas variantes de uma mesma posição compartilham rótulo e aparecem simultaneamente no treino e no teste, levando o modelo a "decorar" posições em vez de aprender biologia. Esse padrão de memorização é exatamente o que infla os conjuntos que incluem a posição bruta na Tabela 1 (Identidade e Bioquímico), motivando o protocolo de bloqueio por posição adotado em todo este trabalho. Este é o alerta metodológico central: </w:t>
      </w:r>
      <w:r>
        <w:rPr>
          <w:rFonts w:ascii="Arial" w:hAnsi="Arial"/>
          <w:b/>
        </w:rPr>
        <w:t>benchmarks internos que não bloqueiam a posição superestimam sistematicamente o desempenho real.</w:t>
      </w:r>
    </w:p>
    <w:p>
      <w:pPr>
        <w:pStyle w:val="Heading2"/>
      </w:pPr>
      <w:r>
        <w:t>3.3 A solução: modelo consciente de domínio, validado externamente</w:t>
      </w:r>
    </w:p>
    <w:p>
      <w:pPr>
        <w:jc w:val="both"/>
      </w:pPr>
      <w:r>
        <w:rPr>
          <w:rFonts w:ascii="Arial" w:hAnsi="Arial"/>
        </w:rPr>
        <w:t xml:space="preserve">Substituindo a posição bruta por características de </w:t>
      </w:r>
      <w:r>
        <w:rPr>
          <w:rFonts w:ascii="Arial" w:hAnsi="Arial"/>
          <w:b/>
        </w:rPr>
        <w:t>região funcional</w:t>
      </w:r>
      <w:r>
        <w:rPr>
          <w:rFonts w:ascii="Arial" w:hAnsi="Arial"/>
        </w:rPr>
        <w:t xml:space="preserve">, obtivemos um modelo que não só resiste ao bloqueio por posição como </w:t>
      </w:r>
      <w:r>
        <w:rPr>
          <w:rFonts w:ascii="Arial" w:hAnsi="Arial"/>
          <w:b/>
        </w:rPr>
        <w:t>generaliza melhor</w:t>
      </w:r>
      <w:r>
        <w:rPr>
          <w:rFonts w:ascii="Arial" w:hAnsi="Arial"/>
        </w:rPr>
        <w:t xml:space="preserve"> para coortes externas independentes, como resume a Tabela 3.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3. Consciência de domínio: validação bloqueada por posição e generalização externa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(sem posição)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0,743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Bioquímico + domínio (proposto)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0,818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0,847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+ posição bruta (referência de vazamento)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DeLong (domínio vs bioquímico): p = 3,2 × 10⁻⁹ (interno) e </w:t>
      </w:r>
      <w:r>
        <w:rPr>
          <w:rFonts w:ascii="Arial" w:hAnsi="Arial"/>
          <w:b/>
        </w:rPr>
        <w:t>p = 1,8 × 10⁻¹³</w:t>
      </w:r>
      <w:r>
        <w:rPr>
          <w:rFonts w:ascii="Arial" w:hAnsi="Arial"/>
        </w:rPr>
        <w:t xml:space="preserve"> (externo). Decisivamente, o modelo de domínio (0,847) </w:t>
      </w:r>
      <w:r>
        <w:rPr>
          <w:rFonts w:ascii="Arial" w:hAnsi="Arial"/>
          <w:b/>
        </w:rPr>
        <w:t>supera</w:t>
      </w:r>
      <w:r>
        <w:rPr>
          <w:rFonts w:ascii="Arial" w:hAnsi="Arial"/>
        </w:rPr>
        <w:t xml:space="preserve"> o de posição bruta (0,791) </w:t>
      </w:r>
      <w:r>
        <w:rPr>
          <w:rFonts w:ascii="Arial" w:hAnsi="Arial"/>
          <w:i/>
        </w:rPr>
        <w:t>justamente nas coortes externas</w:t>
      </w:r>
      <w:r>
        <w:rPr>
          <w:rFonts w:ascii="Arial" w:hAnsi="Arial"/>
        </w:rPr>
        <w:t xml:space="preserve"> — ou seja, o sinal de região </w:t>
      </w:r>
      <w:r>
        <w:rPr>
          <w:rFonts w:ascii="Arial" w:hAnsi="Arial"/>
          <w:b/>
        </w:rPr>
        <w:t>transfere-se</w:t>
      </w:r>
      <w:r>
        <w:rPr>
          <w:rFonts w:ascii="Arial" w:hAnsi="Arial"/>
        </w:rPr>
        <w:t xml:space="preserve"> para dados novos, enquanto a posição </w:t>
      </w:r>
      <w:r>
        <w:rPr>
          <w:rFonts w:ascii="Arial" w:hAnsi="Arial"/>
          <w:b/>
        </w:rPr>
        <w:t>memoriza</w:t>
      </w:r>
      <w:r>
        <w:rPr>
          <w:rFonts w:ascii="Arial" w:hAnsi="Arial"/>
        </w:rPr>
        <w:t xml:space="preserve"> e falha ao generalizar. Este é o resultado central do trabalho.</w:t>
      </w:r>
    </w:p>
    <w:p>
      <w:pPr>
        <w:jc w:val="both"/>
      </w:pPr>
      <w:r>
        <w:rPr>
          <w:rFonts w:ascii="Arial" w:hAnsi="Arial"/>
        </w:rPr>
        <w:t xml:space="preserve">As Figuras 4 e 5 ilustram a base biológica desse resultado. A Figura 4 mapeia as variantes observadas sobre a arquitetura de domínios de BRCA1 e BRCA2: as variantes patogênicas (riscos vermelhos, inferiores) concentram-se visivelmente nas regiões críticas — RING e repetições BRCT em BRCA1; domínio de ligação ao DNA em BRCA2 —, enquanto as benignas (superiores) espalham-se pelas regiões ligantes. A Figura 5 quantifica o padrão: a fração de variantes patogênicas é de </w:t>
      </w:r>
      <w:r>
        <w:rPr>
          <w:rFonts w:ascii="Arial" w:hAnsi="Arial"/>
          <w:b/>
        </w:rPr>
        <w:t>44,5%</w:t>
      </w:r>
      <w:r>
        <w:rPr>
          <w:rFonts w:ascii="Arial" w:hAnsi="Arial"/>
        </w:rPr>
        <w:t xml:space="preserve"> (n = 373) dentro de domínios críticos, contra </w:t>
      </w:r>
      <w:r>
        <w:rPr>
          <w:rFonts w:ascii="Arial" w:hAnsi="Arial"/>
          <w:b/>
        </w:rPr>
        <w:t>6,8%</w:t>
      </w:r>
      <w:r>
        <w:rPr>
          <w:rFonts w:ascii="Arial" w:hAnsi="Arial"/>
        </w:rPr>
        <w:t xml:space="preserve"> (n = 146) em domínios não críticos e </w:t>
      </w:r>
      <w:r>
        <w:rPr>
          <w:rFonts w:ascii="Arial" w:hAnsi="Arial"/>
          <w:b/>
        </w:rPr>
        <w:t>10,0%</w:t>
      </w:r>
      <w:r>
        <w:rPr>
          <w:rFonts w:ascii="Arial" w:hAnsi="Arial"/>
        </w:rPr>
        <w:t xml:space="preserve"> (n = 350) em regiões ligantes.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18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4.</w:t>
      </w:r>
      <w:r>
        <w:rPr>
          <w:rFonts w:ascii="Arial" w:hAnsi="Arial"/>
          <w:i/>
          <w:sz w:val="20"/>
        </w:rPr>
        <w:t xml:space="preserve"> Arquitetura de domínios funcionais de BRCA1 (P38398, 1863 aa) e BRCA2 (P51587, 3418 aa), com as variantes reais da coorte interna sobrepostas. Retângulos vermelhos = regiões críticas (RING, BRCT, DBD); azuis = demais domínios anotados. Riscos: patogênicas (abaixo, vermelho) versus benignas (acima, verde-água).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ogenicity_by_do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5.</w:t>
      </w:r>
      <w:r>
        <w:rPr>
          <w:rFonts w:ascii="Arial" w:hAnsi="Arial"/>
          <w:i/>
          <w:sz w:val="20"/>
        </w:rPr>
        <w:t xml:space="preserve"> Fração de variantes patogênicas por região funcional na coorte interna. O contraste entre domínios críticos (~45%) e as demais regiões (~7–10%) é a base biológica do sinal de domínio.</w:t>
      </w:r>
    </w:p>
    <w:p>
      <w:pPr>
        <w:pStyle w:val="Heading2"/>
      </w:pPr>
      <w:r>
        <w:t>3.4 Robustez estatística: bootstrap, permutação, estabilidade e calibração</w:t>
      </w:r>
    </w:p>
    <w:p>
      <w:pPr>
        <w:jc w:val="both"/>
      </w:pPr>
      <w:r>
        <w:rPr>
          <w:rFonts w:ascii="Arial" w:hAnsi="Arial"/>
        </w:rPr>
        <w:t>Para assegurar que a vantagem do modelo consciente de domínio não decorre do acaso nem de uma partição específica dos dados, executamos uma bateria de robustez sobre as coortes reais.</w:t>
      </w:r>
    </w:p>
    <w:p>
      <w:pPr>
        <w:jc w:val="both"/>
      </w:pPr>
      <w:r>
        <w:rPr>
          <w:rFonts w:ascii="Arial" w:hAnsi="Arial"/>
          <w:b/>
        </w:rPr>
        <w:t>Intervalos de confiança por bootstrap (B = 2000).</w:t>
      </w:r>
      <w:r>
        <w:rPr>
          <w:rFonts w:ascii="Arial" w:hAnsi="Arial"/>
        </w:rPr>
        <w:t xml:space="preserve"> Na generalização externa, a AUC do modelo consciente de domínio é 0,847 (IC95% 0,810–0,881), </w:t>
      </w:r>
      <w:r>
        <w:rPr>
          <w:rFonts w:ascii="Arial" w:hAnsi="Arial"/>
          <w:b/>
        </w:rPr>
        <w:t>sem sobreposição</w:t>
      </w:r>
      <w:r>
        <w:rPr>
          <w:rFonts w:ascii="Arial" w:hAnsi="Arial"/>
        </w:rPr>
        <w:t xml:space="preserve"> com o intervalo do modelo bioquímico (0,717; IC95% 0,668–0,760). A diferença de AUC é de </w:t>
      </w:r>
      <w:r>
        <w:rPr>
          <w:rFonts w:ascii="Arial" w:hAnsi="Arial"/>
          <w:b/>
        </w:rPr>
        <w:t>+0,131</w:t>
      </w:r>
      <w:r>
        <w:rPr>
          <w:rFonts w:ascii="Arial" w:hAnsi="Arial"/>
        </w:rPr>
        <w:t xml:space="preserve"> (IC95% 0,097–0,167) sobre o bioquímico e </w:t>
      </w:r>
      <w:r>
        <w:rPr>
          <w:rFonts w:ascii="Arial" w:hAnsi="Arial"/>
          <w:b/>
        </w:rPr>
        <w:t>+0,056</w:t>
      </w:r>
      <w:r>
        <w:rPr>
          <w:rFonts w:ascii="Arial" w:hAnsi="Arial"/>
        </w:rPr>
        <w:t xml:space="preserve"> (IC95% 0,029–0,084) sobre a posição bruta; em nenhuma das 2000 reamostragens a diferença foi ≤ 0 (p &lt; 0,0005 em ambos os casos). A distribuição bootstrap das três AUCs é mostrada na Figura 6.</w:t>
      </w:r>
    </w:p>
    <w:p>
      <w:pPr>
        <w:jc w:val="both"/>
      </w:pPr>
      <w:r>
        <w:rPr>
          <w:rFonts w:ascii="Arial" w:hAnsi="Arial"/>
          <w:b/>
        </w:rPr>
        <w:t>Teste de permutação (N = 2000).</w:t>
      </w:r>
      <w:r>
        <w:rPr>
          <w:rFonts w:ascii="Arial" w:hAnsi="Arial"/>
        </w:rPr>
        <w:t xml:space="preserve"> Permutando os rótulos externos para construir a distribuição sob a hipótese nula, a AUC nula tem média 0,501; a AUC observada (0,847) situa-se muito além dela, com </w:t>
      </w:r>
      <w:r>
        <w:rPr>
          <w:rFonts w:ascii="Arial" w:hAnsi="Arial"/>
          <w:b/>
        </w:rPr>
        <w:t>p = 5 × 10⁻⁴</w:t>
      </w:r>
      <w:r>
        <w:rPr>
          <w:rFonts w:ascii="Arial" w:hAnsi="Arial"/>
        </w:rPr>
        <w:t xml:space="preserve"> (o mínimo detectável com N = 2000). O desempenho não é atribuível ao acaso (Figura 7).</w:t>
      </w:r>
    </w:p>
    <w:p>
      <w:pPr>
        <w:jc w:val="both"/>
      </w:pPr>
      <w:r>
        <w:rPr>
          <w:rFonts w:ascii="Arial" w:hAnsi="Arial"/>
          <w:b/>
        </w:rPr>
        <w:t>Estabilidade entre sementes.</w:t>
      </w:r>
      <w:r>
        <w:rPr>
          <w:rFonts w:ascii="Arial" w:hAnsi="Arial"/>
        </w:rPr>
        <w:t xml:space="preserve"> Repetindo a validação cruzada bloqueada por posição em </w:t>
      </w:r>
      <w:r>
        <w:rPr>
          <w:rFonts w:ascii="Arial" w:hAnsi="Arial"/>
          <w:b/>
        </w:rPr>
        <w:t>12 sementes independentes</w:t>
      </w:r>
      <w:r>
        <w:rPr>
          <w:rFonts w:ascii="Arial" w:hAnsi="Arial"/>
        </w:rPr>
        <w:t xml:space="preserve">, a AUC média é </w:t>
      </w:r>
      <w:r>
        <w:rPr>
          <w:rFonts w:ascii="Arial" w:hAnsi="Arial"/>
          <w:b/>
        </w:rPr>
        <w:t>0,828 ± 0,005</w:t>
      </w:r>
      <w:r>
        <w:rPr>
          <w:rFonts w:ascii="Arial" w:hAnsi="Arial"/>
        </w:rPr>
        <w:t xml:space="preserve"> (domínio), 0,818 ± 0,006 (posição bruta) e 0,763 ± 0,005 (bioquímico): o modelo de domínio é consistentemente superior, com variabilidade mínima (Figura 8).</w:t>
      </w:r>
    </w:p>
    <w:p>
      <w:pPr>
        <w:jc w:val="both"/>
      </w:pPr>
      <w:r>
        <w:rPr>
          <w:rFonts w:ascii="Arial" w:hAnsi="Arial"/>
          <w:b/>
        </w:rPr>
        <w:t>Calibração.</w:t>
      </w:r>
      <w:r>
        <w:rPr>
          <w:rFonts w:ascii="Arial" w:hAnsi="Arial"/>
        </w:rPr>
        <w:t xml:space="preserve"> O escore de Brier do modelo consciente de domínio nas coortes externas é </w:t>
      </w:r>
      <w:r>
        <w:rPr>
          <w:rFonts w:ascii="Arial" w:hAnsi="Arial"/>
          <w:b/>
        </w:rPr>
        <w:t>0,108</w:t>
      </w:r>
      <w:r>
        <w:rPr>
          <w:rFonts w:ascii="Arial" w:hAnsi="Arial"/>
        </w:rPr>
        <w:t>, e a curva de confiabilidade acompanha a diagonal (Figura 9), indicando probabilidades bem calibradas — propriedade importante para uso como apoio à decisão, e não apenas ordenação. A Figura 10 complementa essa análise com as curvas ROC completas dos três modelos nas coortes externas, visualizando a mesma separação de desempenho já quantificada na Tabela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_au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6.</w:t>
      </w:r>
      <w:r>
        <w:rPr>
          <w:rFonts w:ascii="Arial" w:hAnsi="Arial"/>
          <w:i/>
          <w:sz w:val="20"/>
        </w:rPr>
        <w:t xml:space="preserve"> Distribuição bootstrap (B = 2000) da AUC nas coortes externas para os três modelos. A separação entre o modelo de domínio (verde) e o bioquímico (cinza) é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mu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7.</w:t>
      </w:r>
      <w:r>
        <w:rPr>
          <w:rFonts w:ascii="Arial" w:hAnsi="Arial"/>
          <w:i/>
          <w:sz w:val="20"/>
        </w:rPr>
        <w:t xml:space="preserve"> Teste de permutação (N = 2000). A AUC observada (linha verde) está muito além da distribuição sob rótulos permutados (p = 5 × 10⁻⁴).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ed_c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8.</w:t>
      </w:r>
      <w:r>
        <w:rPr>
          <w:rFonts w:ascii="Arial" w:hAnsi="Arial"/>
          <w:i/>
          <w:sz w:val="20"/>
        </w:rPr>
        <w:t xml:space="preserve"> Estabilidade da AUC em 12 sementes de validação cruzada bloqueada por posição.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9.</w:t>
      </w:r>
      <w:r>
        <w:rPr>
          <w:rFonts w:ascii="Arial" w:hAnsi="Arial"/>
          <w:i/>
          <w:sz w:val="20"/>
        </w:rPr>
        <w:t xml:space="preserve"> Curva de calibração (confiabilidade) e escore de Brier do modelo consciente de domínio nas coortes externas.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6346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exter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63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10.</w:t>
      </w:r>
      <w:r>
        <w:rPr>
          <w:rFonts w:ascii="Arial" w:hAnsi="Arial"/>
          <w:i/>
          <w:sz w:val="20"/>
        </w:rPr>
        <w:t xml:space="preserve"> Curvas ROC nas coortes externas para os três modelos comparados.</w:t>
      </w:r>
    </w:p>
    <w:p>
      <w:pPr>
        <w:pStyle w:val="Heading2"/>
      </w:pPr>
      <w:r>
        <w:t>3.5 Meta-análise de generalização entre coortes independentes</w:t>
      </w:r>
    </w:p>
    <w:p>
      <w:pPr>
        <w:jc w:val="both"/>
      </w:pPr>
      <w:r>
        <w:rPr>
          <w:rFonts w:ascii="Arial" w:hAnsi="Arial"/>
        </w:rPr>
        <w:t xml:space="preserve">Para quantificar a robustez de forma conservadora, tratamos cada uma das quatro coortes externas como um "estudo" independente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DerSimonian-Laird sobre a AUC em escala logit; incerteza por bootstrap). O resultado (Figura 11, Tabela 4) é honesto e informativo.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4. Meta-análise da AUC externa por coorte (modelo consciente de domínio).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IC95%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painel especialista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204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0,888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0,840–0,929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painel especialista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0,864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0,791–0,925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coorte externa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289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0,772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0,617–0,910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coorte externa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168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0,599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0,476–0,728</w:t>
            </w:r>
          </w:p>
        </w:tc>
      </w:tr>
      <w:tr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Agrupado (efeitos aleatórios)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836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0,801</w:t>
            </w:r>
          </w:p>
        </w:tc>
        <w:tc>
          <w:tcPr>
            <w:tcW w:type="dxa" w:w="2353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0,638–0,902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AUC agrupada é </w:t>
      </w:r>
      <w:r>
        <w:rPr>
          <w:rFonts w:ascii="Arial" w:hAnsi="Arial"/>
          <w:b/>
        </w:rPr>
        <w:t>0,801</w:t>
      </w:r>
      <w:r>
        <w:rPr>
          <w:rFonts w:ascii="Arial" w:hAnsi="Arial"/>
        </w:rPr>
        <w:t xml:space="preserve"> (IC95% 0,638–0,902), com </w:t>
      </w:r>
      <w:r>
        <w:rPr>
          <w:rFonts w:ascii="Arial" w:hAnsi="Arial"/>
          <w:b/>
        </w:rPr>
        <w:t>alta heterogeneidade</w:t>
      </w:r>
      <w:r>
        <w:rPr>
          <w:rFonts w:ascii="Arial" w:hAnsi="Arial"/>
        </w:rPr>
        <w:t xml:space="preserve"> (I² = 88,2%; Q = 25,5; p &lt; 0,001). O modelo é </w:t>
      </w:r>
      <w:r>
        <w:rPr>
          <w:rFonts w:ascii="Arial" w:hAnsi="Arial"/>
          <w:b/>
        </w:rPr>
        <w:t>excelente nas coortes de painel especialista</w:t>
      </w:r>
      <w:r>
        <w:rPr>
          <w:rFonts w:ascii="Arial" w:hAnsi="Arial"/>
        </w:rPr>
        <w:t xml:space="preserve"> (0,864–0,888), precisamente onde os rótulos têm máxima confiança, e mais fraco em uma coorte externa de BRCA1 (0,599). Reportamos essa heterogeneidade de forma explícita: ela mostra que o desempenho depende da qualidade e composição da coorte, e que a generalização, embora forte no conjunto agregado e nas coortes de especialista, </w:t>
      </w:r>
      <w:r>
        <w:rPr>
          <w:rFonts w:ascii="Arial" w:hAnsi="Arial"/>
          <w:b/>
        </w:rPr>
        <w:t>não é uniforme</w:t>
      </w:r>
      <w:r>
        <w:rPr>
          <w:rFonts w:ascii="Arial" w:hAnsi="Arial"/>
        </w:rPr>
        <w:t>. Discutimos as implicações em §4.1.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116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a_for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11.</w:t>
      </w:r>
      <w:r>
        <w:rPr>
          <w:rFonts w:ascii="Arial" w:hAnsi="Arial"/>
          <w:i/>
          <w:sz w:val="20"/>
        </w:rPr>
        <w:t xml:space="preserve"> Forest plot da meta-análise de generalização externa. Quadrados = AUC por coorte (com IC95%); losango = estimativa agrupada por efeitos aleatórios.</w:t>
      </w:r>
    </w:p>
    <w:p>
      <w:pPr>
        <w:pStyle w:val="Heading2"/>
      </w:pPr>
      <w:r>
        <w:t>3.6 Aprendizado profundo autêntico: o modelo-carro-chefe domínio + ESM-2</w:t>
      </w:r>
    </w:p>
    <w:p>
      <w:pPr>
        <w:jc w:val="both"/>
      </w:pPr>
      <w:r>
        <w:rPr>
          <w:rFonts w:ascii="Arial" w:hAnsi="Arial"/>
        </w:rPr>
        <w:t xml:space="preserve">Como camada ortogonal e cientificamente legítima, integramos o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 — um modelo de linguagem de proteínas treinado de forma não supervisionada em dezenas de milhões de sequências, </w:t>
      </w:r>
      <w:r>
        <w:rPr>
          <w:rFonts w:ascii="Arial" w:hAnsi="Arial"/>
          <w:b/>
        </w:rPr>
        <w:t>sem qualquer rótulo de patogenicidade</w:t>
      </w:r>
      <w:r>
        <w:rPr>
          <w:rFonts w:ascii="Arial" w:hAnsi="Arial"/>
        </w:rPr>
        <w:t xml:space="preserve">. Cada substituição recebe um escore </w:t>
      </w:r>
      <w:r>
        <w:rPr>
          <w:rFonts w:ascii="Arial" w:hAnsi="Arial"/>
          <w:i/>
        </w:rPr>
        <w:t>zero-shot</w:t>
      </w:r>
      <w:r>
        <w:rPr>
          <w:rFonts w:ascii="Arial" w:hAnsi="Arial"/>
        </w:rPr>
        <w:t xml:space="preserve"> pela razão de verossimilhança logarítmica (LLR) </w:t>
      </w:r>
      <w:r>
        <w:rPr>
          <w:rFonts w:ascii="Arial" w:hAnsi="Arial"/>
          <w:i/>
        </w:rPr>
        <w:t>masked-marginal</w:t>
      </w:r>
      <w:r>
        <w:rPr>
          <w:rFonts w:ascii="Arial" w:hAnsi="Arial"/>
        </w:rPr>
        <w:t xml:space="preserve"> (Seção 2.9). Por derivar apenas da "gramática" evolutiva das sequências, o ESM-2 </w:t>
      </w:r>
      <w:r>
        <w:rPr>
          <w:rFonts w:ascii="Arial" w:hAnsi="Arial"/>
          <w:b/>
        </w:rPr>
        <w:t>não introduz circularidade</w:t>
      </w:r>
      <w:r>
        <w:rPr>
          <w:rFonts w:ascii="Arial" w:hAnsi="Arial"/>
        </w:rPr>
        <w:t xml:space="preserve"> com preditores existentes nem vaza rótulos. Pontuamos as 1.680 variantes com o ESM-2 (650M) com </w:t>
      </w:r>
      <w:r>
        <w:rPr>
          <w:rFonts w:ascii="Arial" w:hAnsi="Arial"/>
          <w:b/>
        </w:rPr>
        <w:t>100% de cobertura</w:t>
      </w:r>
      <w:r>
        <w:rPr>
          <w:rFonts w:ascii="Arial" w:hAnsi="Arial"/>
        </w:rPr>
        <w:t>; o sinal é biologicamente coerente (por exemplo, a variante p.Cys61Gly, no núcleo de coordenação de zinco do RING, recebe LLR = −10,9).</w:t>
      </w:r>
    </w:p>
    <w:p>
      <w:pPr>
        <w:jc w:val="both"/>
      </w:pPr>
      <w:r>
        <w:rPr>
          <w:rFonts w:ascii="Arial" w:hAnsi="Arial"/>
        </w:rPr>
        <w:t xml:space="preserve">Avaliado sob o mesmo protocolo anti-vazamento (Tabela 5), o ESM-2 revela-se um sinal poderoso, e sua combinação com a consciência de domínio constitui o </w:t>
      </w:r>
      <w:r>
        <w:rPr>
          <w:rFonts w:ascii="Arial" w:hAnsi="Arial"/>
          <w:b/>
        </w:rPr>
        <w:t>modelo-carro-chefe</w:t>
      </w:r>
      <w:r>
        <w:rPr>
          <w:rFonts w:ascii="Arial" w:hAnsi="Arial"/>
        </w:rPr>
        <w:t xml:space="preserve"> do sistema: a AUC externa sobe de 0,847 (domínio) para </w:t>
      </w:r>
      <w:r>
        <w:rPr>
          <w:rFonts w:ascii="Arial" w:hAnsi="Arial"/>
          <w:b/>
        </w:rPr>
        <w:t>0,909</w:t>
      </w:r>
      <w:r>
        <w:rPr>
          <w:rFonts w:ascii="Arial" w:hAnsi="Arial"/>
        </w:rPr>
        <w:t xml:space="preserve"> (domínio + ESM-2), uma melhora altamente significativa (DeLong </w:t>
      </w:r>
      <w:r>
        <w:rPr>
          <w:rFonts w:ascii="Arial" w:hAnsi="Arial"/>
          <w:i/>
        </w:rPr>
        <w:t>p</w:t>
      </w:r>
      <w:r>
        <w:rPr>
          <w:rFonts w:ascii="Arial" w:hAnsi="Arial"/>
        </w:rPr>
        <w:t xml:space="preserve"> = 1,5 × 10⁻¹⁰). Os dois sinais são </w:t>
      </w:r>
      <w:r>
        <w:rPr>
          <w:rFonts w:ascii="Arial" w:hAnsi="Arial"/>
          <w:b/>
        </w:rPr>
        <w:t>complementares</w:t>
      </w:r>
      <w:r>
        <w:rPr>
          <w:rFonts w:ascii="Arial" w:hAnsi="Arial"/>
        </w:rPr>
        <w:t xml:space="preserve"> — na validação bloqueada por posição, a combinação (0,882) supera tanto o domínio isolado (0,818) quanto o ESM-2 isolado (0,867).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5. Modelo-carro-chefe (domínio + ESM-2) sob o protocolo anti-vazamento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Consciente de domínio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0,818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ESM-2 (650M) sozinho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0,867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0,907</w:t>
            </w:r>
          </w:p>
        </w:tc>
      </w:tr>
      <w:tr>
        <w:tc>
          <w:tcPr>
            <w:tcW w:type="dxa" w:w="3137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Domínio + ESM-2 (carro-chefe)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0,882</w:t>
            </w:r>
          </w:p>
        </w:tc>
        <w:tc>
          <w:tcPr>
            <w:tcW w:type="dxa" w:w="3137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0,909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explicabilidade desse modelo é </w:t>
      </w:r>
      <w:r>
        <w:rPr>
          <w:rFonts w:ascii="Arial" w:hAnsi="Arial"/>
          <w:b/>
        </w:rPr>
        <w:t>demonstrada, não apenas afirmada</w:t>
      </w:r>
      <w:r>
        <w:rPr>
          <w:rFonts w:ascii="Arial" w:hAnsi="Arial"/>
        </w:rPr>
        <w:t>, por valores de Shapley (SHAP; Figura 12): as características de maior impacto são exatamente os dois pilares do método — o escore ESM-2 (</w:t>
      </w:r>
      <w:r>
        <w:rPr>
          <w:rFonts w:ascii="Consolas" w:hAnsi="Consolas"/>
        </w:rPr>
        <w:t>esm2_llr</w:t>
      </w:r>
      <w:r>
        <w:rPr>
          <w:rFonts w:ascii="Arial" w:hAnsi="Arial"/>
        </w:rPr>
        <w:t>) e a pertinência a domínio crítico (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>) —, seguidas por severidade bioquímica e identidade do gene, com direção de efeito biologicamente correta.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4679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467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12.</w:t>
      </w:r>
      <w:r>
        <w:rPr>
          <w:rFonts w:ascii="Arial" w:hAnsi="Arial"/>
          <w:i/>
          <w:sz w:val="20"/>
        </w:rPr>
        <w:t xml:space="preserve"> Explicabilidade por valores de Shapley (SHAP) do modelo domínio + ESM-2 na coorte interna. Cada ponto é uma variante; a posição horizontal é a contribuição (valor SHAP) da característica para a predição de patogenicidade, e a cor codifica o valor da característica (azul = baixo, vermelho = alto). O escore ESM-2 (</w:t>
      </w:r>
      <w:r>
        <w:rPr>
          <w:rFonts w:ascii="Consolas" w:hAnsi="Consolas"/>
          <w:i/>
          <w:sz w:val="20"/>
        </w:rPr>
        <w:t>esm2_llr</w:t>
      </w:r>
      <w:r>
        <w:rPr>
          <w:rFonts w:ascii="Arial" w:hAnsi="Arial"/>
          <w:i/>
          <w:sz w:val="20"/>
        </w:rPr>
        <w:t>) é o preditor dominante — valores baixos, isto é, LLR muito negativo (deletério), empurram a predição para patogênico —, seguido de perto pela pertinência a domínio crítico (</w:t>
      </w:r>
      <w:r>
        <w:rPr>
          <w:rFonts w:ascii="Consolas" w:hAnsi="Consolas"/>
          <w:i/>
          <w:sz w:val="20"/>
        </w:rPr>
        <w:t>in_critical_domain</w:t>
      </w:r>
      <w:r>
        <w:rPr>
          <w:rFonts w:ascii="Arial" w:hAnsi="Arial"/>
          <w:i/>
          <w:sz w:val="20"/>
        </w:rPr>
        <w:t>). O padrão confirma que o modelo raciocina sobre biologia interpretável, e não como uma caixa-preta.</w:t>
      </w:r>
    </w:p>
    <w:p>
      <w:pPr>
        <w:pStyle w:val="Heading1"/>
      </w:pPr>
      <w:r>
        <w:t>4. Discussão</w:t>
      </w:r>
    </w:p>
    <w:p>
      <w:pPr>
        <w:pStyle w:val="Heading2"/>
      </w:pPr>
      <w:r>
        <w:t>4.1 Biologia transferível versus memorização</w:t>
      </w:r>
    </w:p>
    <w:p>
      <w:pPr>
        <w:jc w:val="both"/>
      </w:pPr>
      <w:r>
        <w:rPr>
          <w:rFonts w:ascii="Arial" w:hAnsi="Arial"/>
        </w:rPr>
        <w:t xml:space="preserve">O achado central deste trabalho é que </w:t>
      </w:r>
      <w:r>
        <w:rPr>
          <w:rFonts w:ascii="Arial" w:hAnsi="Arial"/>
          <w:b/>
        </w:rPr>
        <w:t>o sinal de domínio funcional generaliza para dados novos, ao passo que a posição bruta memoriza</w:t>
      </w:r>
      <w:r>
        <w:rPr>
          <w:rFonts w:ascii="Arial" w:hAnsi="Arial"/>
        </w:rPr>
        <w:t xml:space="preserve">. Em validação interna ingênua, a posição do resíduo parece um preditor forte; porém, quando avaliada em coortes externas independentes, colapsa (0,791) enquanto o modelo consciente de domínio se mantém superior (0,847). Essa inversão é diagnóstica: características que codificam </w:t>
      </w:r>
      <w:r>
        <w:rPr>
          <w:rFonts w:ascii="Arial" w:hAnsi="Arial"/>
          <w:b/>
        </w:rPr>
        <w:t>mecanismo</w:t>
      </w:r>
      <w:r>
        <w:rPr>
          <w:rFonts w:ascii="Arial" w:hAnsi="Arial"/>
        </w:rPr>
        <w:t xml:space="preserve"> — a que região funcional a mutação pertence, e se essa região é crítica para a estabilidade ou a atividade da proteína — carregam biologia que se aplica a variantes nunca vistas. Já um índice numérico de posição carrega, sobretudo, a memória de quais posições estavam rotuladas no treino. A taxa de patogenicidade de ~45% dentro de domínios críticos contra ~7–10% fora reforça que o modelo aprendeu um princípio biológico real, coerente com décadas de literatura sobre BRCA1 (RING/BRCT) e BRCA2 (domínio de ligação ao DNA) e com evidências recentes de que a restrição evolutiva em resolução de domínio melhora a priorização de variantes missense.</w:t>
      </w:r>
    </w:p>
    <w:p>
      <w:pPr>
        <w:jc w:val="both"/>
      </w:pPr>
      <w:r>
        <w:rPr>
          <w:rFonts w:ascii="Arial" w:hAnsi="Arial"/>
        </w:rPr>
        <w:t xml:space="preserve">Cabe uma distinção honesta entre dois modos de medir a generalização. A AUC no </w:t>
      </w:r>
      <w:r>
        <w:rPr>
          <w:rFonts w:ascii="Arial" w:hAnsi="Arial"/>
          <w:b/>
        </w:rPr>
        <w:t>conjunto externo agregado</w:t>
      </w:r>
      <w:r>
        <w:rPr>
          <w:rFonts w:ascii="Arial" w:hAnsi="Arial"/>
        </w:rPr>
        <w:t xml:space="preserve"> (0,847) beneficia-se, em parte, da separação </w:t>
      </w:r>
      <w:r>
        <w:rPr>
          <w:rFonts w:ascii="Arial" w:hAnsi="Arial"/>
          <w:i/>
        </w:rPr>
        <w:t>entre</w:t>
      </w:r>
      <w:r>
        <w:rPr>
          <w:rFonts w:ascii="Arial" w:hAnsi="Arial"/>
        </w:rPr>
        <w:t xml:space="preserve"> coortes com composições diferentes. A </w:t>
      </w:r>
      <w:r>
        <w:rPr>
          <w:rFonts w:ascii="Arial" w:hAnsi="Arial"/>
          <w:b/>
        </w:rPr>
        <w:t>meta-análise por coorte</w:t>
      </w:r>
      <w:r>
        <w:rPr>
          <w:rFonts w:ascii="Arial" w:hAnsi="Arial"/>
        </w:rPr>
        <w:t xml:space="preserve"> (§3.5) é mais conservadora e revela heterogeneidade substancial (I² = 88%): o modelo é excelente nas coortes de painel especialista (0,86–0,89) e fraco em uma coorte externa de BRCA1 (0,60). Interpretamos isso não como fragilidade a ser escondida, mas como informação: o desempenho depende da qualidade de rotulagem e da composição da coorte, e a força real do método está na priorização de variantes com rótulos de alta confiança. Reportar essa nuance é parte do compromisso de honestidade que define o trabalho.</w:t>
      </w:r>
    </w:p>
    <w:p>
      <w:pPr>
        <w:pStyle w:val="Heading2"/>
      </w:pPr>
      <w:r>
        <w:t>4.2 A honestidade metodológica como contribuição científica</w:t>
      </w:r>
    </w:p>
    <w:p>
      <w:pPr>
        <w:jc w:val="both"/>
      </w:pPr>
      <w:r>
        <w:rPr>
          <w:rFonts w:ascii="Arial" w:hAnsi="Arial"/>
        </w:rPr>
        <w:t xml:space="preserve">É tentador, em uma competição, apresentar apenas o melhor número. Optamos pelo contrário: relatamos que nossa hipótese fundadora — os números primos — </w:t>
      </w:r>
      <w:r>
        <w:rPr>
          <w:rFonts w:ascii="Arial" w:hAnsi="Arial"/>
          <w:b/>
        </w:rPr>
        <w:t>falhou</w:t>
      </w:r>
      <w:r>
        <w:rPr>
          <w:rFonts w:ascii="Arial" w:hAnsi="Arial"/>
        </w:rPr>
        <w:t xml:space="preserve"> em um teste justo, e que um preditor aparentemente forte era, na verdade, um artefato de vazamento. Defendemos que essa transparência é a contribuição mais durável do trabalho. Primeiro, porque é </w:t>
      </w:r>
      <w:r>
        <w:rPr>
          <w:rFonts w:ascii="Arial" w:hAnsi="Arial"/>
          <w:b/>
        </w:rPr>
        <w:t>reprodutível e auditável</w:t>
      </w:r>
      <w:r>
        <w:rPr>
          <w:rFonts w:ascii="Arial" w:hAnsi="Arial"/>
        </w:rPr>
        <w:t xml:space="preserve">: todo o protocolo de bloqueio por posição e validação externa pode ser reexecutado. Segundo, porque o </w:t>
      </w:r>
      <w:r>
        <w:rPr>
          <w:rFonts w:ascii="Arial" w:hAnsi="Arial"/>
          <w:b/>
        </w:rPr>
        <w:t>diagnóstico de vazamento posicional</w:t>
      </w:r>
      <w:r>
        <w:rPr>
          <w:rFonts w:ascii="Arial" w:hAnsi="Arial"/>
        </w:rPr>
        <w:t xml:space="preserve"> é um alerta metodológico útil para toda a área de predição de patogenicidade, onde benchmarks internos otimistas são comuns. Ciência não é a ausência de resultados negativos; é o tratamento rigoroso deles. Um resultado negativo bem estabelecido vale mais do que um resultado positivo frágil.</w:t>
      </w:r>
    </w:p>
    <w:p>
      <w:pPr>
        <w:pStyle w:val="Heading2"/>
      </w:pPr>
      <w:r>
        <w:t>4.3 Posicionamento frente a preditores estabelecidos</w:t>
      </w:r>
    </w:p>
    <w:p>
      <w:pPr>
        <w:jc w:val="both"/>
      </w:pPr>
      <w:r>
        <w:rPr>
          <w:rFonts w:ascii="Arial" w:hAnsi="Arial"/>
        </w:rPr>
        <w:t xml:space="preserve">Preditores como AlphaMissense, REVEL e CADD são referências poderosas, mas incorporá-los como </w:t>
      </w:r>
      <w:r>
        <w:rPr>
          <w:rFonts w:ascii="Arial" w:hAnsi="Arial"/>
          <w:i/>
        </w:rPr>
        <w:t>características</w:t>
      </w:r>
      <w:r>
        <w:rPr>
          <w:rFonts w:ascii="Arial" w:hAnsi="Arial"/>
        </w:rPr>
        <w:t xml:space="preserve"> de um novo modelo introduz </w:t>
      </w:r>
      <w:r>
        <w:rPr>
          <w:rFonts w:ascii="Arial" w:hAnsi="Arial"/>
          <w:b/>
        </w:rPr>
        <w:t>circularidade</w:t>
      </w:r>
      <w:r>
        <w:rPr>
          <w:rFonts w:ascii="Arial" w:hAnsi="Arial"/>
        </w:rPr>
        <w:t xml:space="preserve"> — eles próprios são treinados em rótulos correlacionados, e seu uso direto infla artificialmente o desempenho. Por isso, tratamo-los como </w:t>
      </w:r>
      <w:r>
        <w:rPr>
          <w:rFonts w:ascii="Arial" w:hAnsi="Arial"/>
          <w:b/>
        </w:rPr>
        <w:t>linha de referência de comparação</w:t>
      </w:r>
      <w:r>
        <w:rPr>
          <w:rFonts w:ascii="Arial" w:hAnsi="Arial"/>
        </w:rPr>
        <w:t xml:space="preserve">, não como insumo do modelo proposto. O valor diferencial do PrimeVarClass não é superar numericamente esses preditores fechados, mas oferecer um método </w:t>
      </w:r>
      <w:r>
        <w:rPr>
          <w:rFonts w:ascii="Arial" w:hAnsi="Arial"/>
          <w:b/>
        </w:rPr>
        <w:t>aberto, interpretável e auditável</w:t>
      </w:r>
      <w:r>
        <w:rPr>
          <w:rFonts w:ascii="Arial" w:hAnsi="Arial"/>
        </w:rPr>
        <w:t>, cujo sinal preditivo tem origem biológica explícita (região funcional) e cuja generalização é demonstrada externamente.</w:t>
      </w:r>
    </w:p>
    <w:p>
      <w:pPr>
        <w:pStyle w:val="Heading2"/>
      </w:pPr>
      <w:r>
        <w:t>4.4 Limitações</w:t>
      </w:r>
    </w:p>
    <w:p>
      <w:pPr>
        <w:jc w:val="both"/>
      </w:pPr>
      <w:r>
        <w:rPr>
          <w:rFonts w:ascii="Arial" w:hAnsi="Arial"/>
        </w:rPr>
        <w:t xml:space="preserve">Reconhecemos limites claros.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A validação concentrou-se em duas proteínas (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); a extensão a outros genes é trabalho futuro.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As fronteiras de domínio são aproximações baseadas em literatura e no UniProt; refinamentos estruturais podem melhorar a granularidade.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A generalização é </w:t>
      </w:r>
      <w:r>
        <w:rPr>
          <w:rFonts w:ascii="Arial" w:hAnsi="Arial"/>
          <w:b/>
        </w:rPr>
        <w:t>heterogênea</w:t>
      </w:r>
      <w:r>
        <w:rPr>
          <w:rFonts w:ascii="Arial" w:hAnsi="Arial"/>
        </w:rPr>
        <w:t xml:space="preserve"> (I² = 88%): forte nas coortes de painel especialista, mas fraca em uma coorte externa de BRCA1, o que exige cautela e mais coortes para caracterizar os limites de aplicabilidade. </w:t>
      </w:r>
      <w:r>
        <w:rPr>
          <w:rFonts w:ascii="Arial" w:hAnsi="Arial"/>
          <w:b/>
        </w:rPr>
        <w:t>(iv)</w:t>
      </w:r>
      <w:r>
        <w:rPr>
          <w:rFonts w:ascii="Arial" w:hAnsi="Arial"/>
        </w:rPr>
        <w:t xml:space="preserve"> Não há, ainda, </w:t>
      </w:r>
      <w:r>
        <w:rPr>
          <w:rFonts w:ascii="Arial" w:hAnsi="Arial"/>
          <w:b/>
        </w:rPr>
        <w:t>confirmação funcional experimental</w:t>
      </w:r>
      <w:r>
        <w:rPr>
          <w:rFonts w:ascii="Arial" w:hAnsi="Arial"/>
        </w:rPr>
        <w:t xml:space="preserve"> das priorizações — o sistema apoia pesquisa, não substitui ensaio funcional (por exemplo,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>) nem julgamento clínico. Nenhuma dessas limitações compromete o achado central; todas apontam caminhos concretos de continuidade.</w:t>
      </w:r>
    </w:p>
    <w:p>
      <w:pPr>
        <w:pStyle w:val="Heading2"/>
      </w:pPr>
      <w:r>
        <w:t>4.5 Trabalhos futuros</w:t>
      </w:r>
    </w:p>
    <w:p>
      <w:pPr>
        <w:jc w:val="both"/>
      </w:pPr>
      <w:r>
        <w:rPr>
          <w:rFonts w:ascii="Arial" w:hAnsi="Arial"/>
        </w:rPr>
        <w:t xml:space="preserve">Três direções decorrem naturalmente deste trabalho. </w:t>
      </w:r>
      <w:r>
        <w:rPr>
          <w:rFonts w:ascii="Arial" w:hAnsi="Arial"/>
          <w:b/>
        </w:rPr>
        <w:t>Primeiro</w:t>
      </w:r>
      <w:r>
        <w:rPr>
          <w:rFonts w:ascii="Arial" w:hAnsi="Arial"/>
        </w:rPr>
        <w:t xml:space="preserve">, estender a anotação consciente de domínio e a pontuação ESM-2 a </w:t>
      </w:r>
      <w:r>
        <w:rPr>
          <w:rFonts w:ascii="Arial" w:hAnsi="Arial"/>
          <w:b/>
        </w:rPr>
        <w:t>outros genes</w:t>
      </w:r>
      <w:r>
        <w:rPr>
          <w:rFonts w:ascii="Arial" w:hAnsi="Arial"/>
        </w:rPr>
        <w:t xml:space="preserve"> de predisposição (por exemplo, </w:t>
      </w:r>
      <w:r>
        <w:rPr>
          <w:rFonts w:ascii="Arial" w:hAnsi="Arial"/>
          <w:i/>
        </w:rPr>
        <w:t>TP53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PALB2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CHEK2</w:t>
      </w:r>
      <w:r>
        <w:rPr>
          <w:rFonts w:ascii="Arial" w:hAnsi="Arial"/>
        </w:rPr>
        <w:t xml:space="preserve">), verificando se o ganho de generalização se replica. </w:t>
      </w:r>
      <w:r>
        <w:rPr>
          <w:rFonts w:ascii="Arial" w:hAnsi="Arial"/>
          <w:b/>
        </w:rPr>
        <w:t>Segundo</w:t>
      </w:r>
      <w:r>
        <w:rPr>
          <w:rFonts w:ascii="Arial" w:hAnsi="Arial"/>
        </w:rPr>
        <w:t xml:space="preserve">, aplicar </w:t>
      </w:r>
      <w:r>
        <w:rPr>
          <w:rFonts w:ascii="Arial" w:hAnsi="Arial"/>
          <w:b/>
        </w:rPr>
        <w:t>calibração formal ACMG/AMP</w:t>
      </w:r>
      <w:r>
        <w:rPr>
          <w:rFonts w:ascii="Arial" w:hAnsi="Arial"/>
        </w:rPr>
        <w:t xml:space="preserve"> (Pejaver et al., 2022) para converter as probabilidades do modelo-carro-chefe em forças de evidência utilizáveis por comissões de classificação. </w:t>
      </w:r>
      <w:r>
        <w:rPr>
          <w:rFonts w:ascii="Arial" w:hAnsi="Arial"/>
          <w:b/>
        </w:rPr>
        <w:t>Terceiro</w:t>
      </w:r>
      <w:r>
        <w:rPr>
          <w:rFonts w:ascii="Arial" w:hAnsi="Arial"/>
        </w:rPr>
        <w:t xml:space="preserve">, buscar </w:t>
      </w:r>
      <w:r>
        <w:rPr>
          <w:rFonts w:ascii="Arial" w:hAnsi="Arial"/>
          <w:b/>
        </w:rPr>
        <w:t>validação funcional</w:t>
      </w:r>
      <w:r>
        <w:rPr>
          <w:rFonts w:ascii="Arial" w:hAnsi="Arial"/>
        </w:rPr>
        <w:t xml:space="preserve"> convergente com ensaios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— para as variantes priorizadas, fechando o ciclo entre predição e evidência experimental. A heterogeneidade observada entre coortes (§3.5) torna prioritário, ainda, ampliar o número de coortes externas para caracterizar os limites de aplicabilidade do método.</w:t>
      </w:r>
    </w:p>
    <w:p>
      <w:pPr>
        <w:pStyle w:val="Heading1"/>
      </w:pPr>
      <w:r>
        <w:t>5. Impacto social e aplicação</w:t>
      </w:r>
    </w:p>
    <w:p>
      <w:pPr>
        <w:pStyle w:val="Heading2"/>
      </w:pPr>
      <w:r>
        <w:t>5.1 O problema brasileiro concreto</w:t>
      </w:r>
    </w:p>
    <w:p>
      <w:pPr>
        <w:jc w:val="both"/>
      </w:pPr>
      <w:r>
        <w:rPr>
          <w:rFonts w:ascii="Arial" w:hAnsi="Arial"/>
        </w:rPr>
        <w:t>O acesso à interpretação de variantes genéticas é profundamente desigual no Brasil. A expertise concentra-se em poucos centros; laboratórios públicos, hospitais universitários e grupos de pesquisa em regiões menos assistidas frequentemente não dispõem de ferramentas abertas e adaptáveis. O resultado é que exames genéticos, quando realizados, muitas vezes retornam VUS sem suporte para conduzir a decisão — e o custo desse impasse recai desproporcionalmente sobre quem depende do sistema público.</w:t>
      </w:r>
    </w:p>
    <w:p>
      <w:pPr>
        <w:jc w:val="both"/>
      </w:pPr>
      <w:r>
        <w:rPr>
          <w:rFonts w:ascii="Arial" w:hAnsi="Arial"/>
        </w:rPr>
        <w:t>A literatura nacional documenta essa realidade. Recomendações específicas para avançar o diagnóstico e o manejo do câncer de mama e ovário hereditário no Brasil apontam lacunas de acesso e de infraestrutura (Achatz et al., 2020). Estudos de aconselhamento genético e de perfil de risco em serviços brasileiros (Palmero et al., 2007; Fernandes et al., 2019), avaliações do conhecimento médico sobre testagem para síndrome de câncer de mama e ovário hereditário (Lasta et al., 2023) e caracterizações moleculares em serviços públicos de medicina de precisão (Ribeiro et al., 2025), bem como achados de variantes específicas em populações regionais (Noronha et al., 2026), reforçam a necessidade de ferramentas abertas, auditáveis e de baixo custo computacional — exatamente o nicho que o PrimeVarClass busca ocupar como apoio à pesquisa e à formação.</w:t>
      </w:r>
    </w:p>
    <w:p>
      <w:pPr>
        <w:pStyle w:val="Heading2"/>
      </w:pPr>
      <w:r>
        <w:t>5.2 Como o PrimeVarClass contribui</w:t>
      </w:r>
    </w:p>
    <w:p>
      <w:pPr>
        <w:jc w:val="both"/>
      </w:pPr>
      <w:r>
        <w:rPr>
          <w:rFonts w:ascii="Arial" w:hAnsi="Arial"/>
        </w:rPr>
        <w:t xml:space="preserve">O sistema é posicionado explicitamente </w:t>
      </w:r>
      <w:r>
        <w:rPr>
          <w:rFonts w:ascii="Arial" w:hAnsi="Arial"/>
          <w:b/>
        </w:rPr>
        <w:t>não como diagnóstico clínico automático</w:t>
      </w:r>
      <w:r>
        <w:rPr>
          <w:rFonts w:ascii="Arial" w:hAnsi="Arial"/>
        </w:rPr>
        <w:t xml:space="preserve">, mas como </w:t>
      </w:r>
      <w:r>
        <w:rPr>
          <w:rFonts w:ascii="Arial" w:hAnsi="Arial"/>
          <w:b/>
        </w:rPr>
        <w:t>ferramenta de aceleração de pesquisa responsável</w:t>
      </w:r>
      <w:r>
        <w:rPr>
          <w:rFonts w:ascii="Arial" w:hAnsi="Arial"/>
        </w:rPr>
        <w:t>:</w:t>
      </w:r>
    </w:p>
    <w:p>
      <w:pPr>
        <w:pStyle w:val="ListBullet"/>
      </w:pPr>
      <w:r>
        <w:rPr>
          <w:rFonts w:ascii="Arial" w:hAnsi="Arial"/>
          <w:b/>
        </w:rPr>
        <w:t>Apoio a laboratórios públicos e universitários</w:t>
      </w:r>
      <w:r>
        <w:rPr>
          <w:rFonts w:ascii="Arial" w:hAnsi="Arial"/>
        </w:rPr>
        <w:t>: uma plataforma aberta e auditável para priorizar variantes candidatas e organizar evidência pública (ClinVar, gnomAD), reduzindo o tempo de análise inicial.</w:t>
      </w:r>
    </w:p>
    <w:p>
      <w:pPr>
        <w:pStyle w:val="ListBullet"/>
      </w:pPr>
      <w:r>
        <w:rPr>
          <w:rFonts w:ascii="Arial" w:hAnsi="Arial"/>
          <w:b/>
        </w:rPr>
        <w:t>Formação de pesquisadores</w:t>
      </w:r>
      <w:r>
        <w:rPr>
          <w:rFonts w:ascii="Arial" w:hAnsi="Arial"/>
        </w:rPr>
        <w:t>: por ser explicável e reprodutível, serve de instrumento didático sobre boas práticas — validação externa, prevenção de vazamento, honestidade sobre limites.</w:t>
      </w:r>
    </w:p>
    <w:p>
      <w:pPr>
        <w:pStyle w:val="ListBullet"/>
      </w:pPr>
      <w:r>
        <w:rPr>
          <w:rFonts w:ascii="Arial" w:hAnsi="Arial"/>
          <w:b/>
        </w:rPr>
        <w:t>Suporte à pesquisa translacional nacional</w:t>
      </w:r>
      <w:r>
        <w:rPr>
          <w:rFonts w:ascii="Arial" w:hAnsi="Arial"/>
        </w:rPr>
        <w:t>: geração de hipóteses funcionais rastreáveis para priorizar quais variantes merecem investigação experimental.</w:t>
      </w:r>
    </w:p>
    <w:p>
      <w:pPr>
        <w:pStyle w:val="ListBullet"/>
      </w:pPr>
      <w:r>
        <w:rPr>
          <w:rFonts w:ascii="Arial" w:hAnsi="Arial"/>
          <w:b/>
        </w:rPr>
        <w:t>Equidade</w:t>
      </w:r>
      <w:r>
        <w:rPr>
          <w:rFonts w:ascii="Arial" w:hAnsi="Arial"/>
        </w:rPr>
        <w:t>: por ser software aberto e de baixo custo computacional (não exige GPU para o núcleo), pode ser executado em infraestrutura modesta.</w:t>
      </w:r>
    </w:p>
    <w:p>
      <w:pPr>
        <w:pStyle w:val="Heading2"/>
      </w:pPr>
      <w:r>
        <w:t>5.3 O que o sistema deliberadamente **não** faz</w:t>
      </w:r>
    </w:p>
    <w:p>
      <w:pPr>
        <w:jc w:val="both"/>
      </w:pPr>
      <w:r>
        <w:rPr>
          <w:rFonts w:ascii="Arial" w:hAnsi="Arial"/>
        </w:rPr>
        <w:t>Não emite laudo clínico, não substitui aconselhamento genético humano e não afirma validade terapêutica. Essa contenção é parte do design responsável e alinha o projeto ao espírito de "IA para o bem comum".</w:t>
      </w:r>
    </w:p>
    <w:p>
      <w:pPr>
        <w:pStyle w:val="Heading2"/>
      </w:pPr>
      <w:r>
        <w:t>5.4 A plataforma como aplicação prática concreta</w:t>
      </w:r>
    </w:p>
    <w:p>
      <w:pPr>
        <w:jc w:val="both"/>
      </w:pPr>
      <w:r>
        <w:rPr>
          <w:rFonts w:ascii="Arial" w:hAnsi="Arial"/>
        </w:rPr>
        <w:t xml:space="preserve">O trabalho não se limita a um resultado estatístico: entrega um </w:t>
      </w:r>
      <w:r>
        <w:rPr>
          <w:rFonts w:ascii="Arial" w:hAnsi="Arial"/>
          <w:b/>
        </w:rPr>
        <w:t>sistema funcional e reprodutível</w:t>
      </w:r>
      <w:r>
        <w:rPr>
          <w:rFonts w:ascii="Arial" w:hAnsi="Arial"/>
        </w:rPr>
        <w:t xml:space="preserve">, com resultados finais. Os componentes são: </w:t>
      </w:r>
      <w:r>
        <w:rPr>
          <w:rFonts w:ascii="Arial" w:hAnsi="Arial"/>
          <w:b/>
        </w:rPr>
        <w:t>(a)</w:t>
      </w:r>
      <w:r>
        <w:rPr>
          <w:rFonts w:ascii="Arial" w:hAnsi="Arial"/>
        </w:rPr>
        <w:t xml:space="preserve"> um pacote de software aberto e auditável que implementa todo o pipeline — codificação de características, anotação consciente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treino e validação, e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 — com </w:t>
      </w:r>
      <w:r>
        <w:rPr>
          <w:rFonts w:ascii="Arial" w:hAnsi="Arial"/>
          <w:b/>
        </w:rPr>
        <w:t>testes automatizados</w:t>
      </w:r>
      <w:r>
        <w:rPr>
          <w:rFonts w:ascii="Arial" w:hAnsi="Arial"/>
        </w:rPr>
        <w:t xml:space="preserve"> garantindo reprodutibilidade; </w:t>
      </w:r>
      <w:r>
        <w:rPr>
          <w:rFonts w:ascii="Arial" w:hAnsi="Arial"/>
          <w:b/>
        </w:rPr>
        <w:t>(b)</w:t>
      </w:r>
      <w:r>
        <w:rPr>
          <w:rFonts w:ascii="Arial" w:hAnsi="Arial"/>
        </w:rPr>
        <w:t xml:space="preserve"> uma </w:t>
      </w:r>
      <w:r>
        <w:rPr>
          <w:rFonts w:ascii="Arial" w:hAnsi="Arial"/>
          <w:b/>
        </w:rPr>
        <w:t>interface programática (API)</w:t>
      </w:r>
      <w:r>
        <w:rPr>
          <w:rFonts w:ascii="Arial" w:hAnsi="Arial"/>
        </w:rPr>
        <w:t xml:space="preserve"> para pontuar variantes e organizar evidência pública; </w:t>
      </w:r>
      <w:r>
        <w:rPr>
          <w:rFonts w:ascii="Arial" w:hAnsi="Arial"/>
          <w:b/>
        </w:rPr>
        <w:t>(c)</w:t>
      </w:r>
      <w:r>
        <w:rPr>
          <w:rFonts w:ascii="Arial" w:hAnsi="Arial"/>
        </w:rPr>
        <w:t xml:space="preserve"> um </w:t>
      </w:r>
      <w:r>
        <w:rPr>
          <w:rFonts w:ascii="Arial" w:hAnsi="Arial"/>
          <w:b/>
        </w:rPr>
        <w:t>protótipo de sistema de apoio à decisão</w:t>
      </w:r>
      <w:r>
        <w:rPr>
          <w:rFonts w:ascii="Arial" w:hAnsi="Arial"/>
        </w:rPr>
        <w:t xml:space="preserve"> para priorização de variantes candidatas, voltado a laboratórios de pesquisa. Todos os números e figuras deste artigo são gerados por scripts reexecutáveis incluídos no sistema, o que torna a aplicação </w:t>
      </w:r>
      <w:r>
        <w:rPr>
          <w:rFonts w:ascii="Arial" w:hAnsi="Arial"/>
          <w:b/>
        </w:rPr>
        <w:t>verificável de ponta a ponta</w:t>
      </w:r>
      <w:r>
        <w:rPr>
          <w:rFonts w:ascii="Arial" w:hAnsi="Arial"/>
        </w:rPr>
        <w:t>. Assim, o PrimeVarClass responde diretamente ao critério de aplicação prática: é uma ferramenta concreta, de baixo custo computacional, pronta para apoiar pesquisa genética responsável no Brasil.</w:t>
      </w:r>
    </w:p>
    <w:p>
      <w:pPr>
        <w:pStyle w:val="Heading1"/>
      </w:pPr>
      <w:r>
        <w:t>6. Ética e uso de inteligência artificial</w:t>
      </w:r>
    </w:p>
    <w:p>
      <w:pPr>
        <w:jc w:val="both"/>
      </w:pPr>
      <w:r>
        <w:rPr>
          <w:rFonts w:ascii="Arial" w:hAnsi="Arial"/>
        </w:rPr>
        <w:t>Em conformidade com o item 2.2.2 (Nota 4) do Edital, declaramos de forma transparente o uso de ferramentas de Inteligência Artificial neste trabalho:</w:t>
      </w:r>
    </w:p>
    <w:p>
      <w:pPr>
        <w:pStyle w:val="ListBullet"/>
      </w:pPr>
      <w:r>
        <w:rPr>
          <w:rFonts w:ascii="Arial" w:hAnsi="Arial"/>
          <w:b/>
        </w:rPr>
        <w:t>Ferramenta utilizada:</w:t>
      </w:r>
      <w:r>
        <w:rPr>
          <w:rFonts w:ascii="Arial" w:hAnsi="Arial"/>
        </w:rPr>
        <w:t xml:space="preserve"> assistente de programação e redação baseado em modelo de linguagem de grande porte (Claude, da Anthropic), operado via interface de linha de comando para desenvolvimento de software.</w:t>
      </w:r>
    </w:p>
    <w:p>
      <w:pPr>
        <w:pStyle w:val="ListBullet"/>
      </w:pPr>
      <w:r>
        <w:rPr>
          <w:rFonts w:ascii="Arial" w:hAnsi="Arial"/>
          <w:b/>
        </w:rPr>
        <w:t>Finalidades:</w:t>
      </w:r>
      <w:r>
        <w:rPr>
          <w:rFonts w:ascii="Arial" w:hAnsi="Arial"/>
        </w:rPr>
        <w:t xml:space="preserve"> (a) apoio à escrita, depuração e refatoração do código-fonte; (b) execução e organização de análises estatísticas (validação, Monte Carlo, meta-análise) sobre dados reais; (c) apoio à revisão sistemática da literatura e à formatação de referências; (d) redação e edição assistidas do texto em português. </w:t>
      </w:r>
      <w:r>
        <w:rPr>
          <w:rFonts w:ascii="Arial" w:hAnsi="Arial"/>
          <w:b/>
        </w:rPr>
        <w:t>Toda a concepção científica, a verificação dos resultados e a responsabilidade final são do(a) autor(a) humano(a).</w:t>
      </w:r>
    </w:p>
    <w:p>
      <w:pPr>
        <w:jc w:val="both"/>
      </w:pPr>
      <w:r>
        <w:rPr>
          <w:rFonts w:ascii="Arial" w:hAnsi="Arial"/>
        </w:rPr>
        <w:t xml:space="preserve">Declaramos ainda que: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todos os dados são públicos e auditáveis, sem informação de pacientes identificáveis;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nenhum resultado, figura ou métrica deste trabalho foi fabricado ou simulado</w:t>
      </w:r>
      <w:r>
        <w:rPr>
          <w:rFonts w:ascii="Arial" w:hAnsi="Arial"/>
        </w:rPr>
        <w:t xml:space="preserve"> — todos derivam de execução real sobre dados reais, com código de validação reexecutável;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reconhecemos vieses potenciais (representatividade populacional dos bancos de dados) e a necessidade de validação experimental independente antes de qualquer uso clínico. A governança do projeto prioriza reprodutibilidade, prudência e não-maleficência, e nenhuma prática de uso antiético de IA (item 4.1 do Edital) foi empregada.</w:t>
      </w:r>
    </w:p>
    <w:p>
      <w:pPr>
        <w:pStyle w:val="Heading1"/>
      </w:pPr>
      <w:r>
        <w:t>7. Conclusão</w:t>
      </w:r>
    </w:p>
    <w:p>
      <w:pPr>
        <w:jc w:val="both"/>
      </w:pPr>
      <w:r>
        <w:rPr>
          <w:rFonts w:ascii="Arial" w:hAnsi="Arial"/>
        </w:rPr>
        <w:t xml:space="preserve">Uma hipótese ousada — codificar aminoácidos como números primos — foi testada com rigor e </w:t>
      </w:r>
      <w:r>
        <w:rPr>
          <w:rFonts w:ascii="Arial" w:hAnsi="Arial"/>
          <w:b/>
        </w:rPr>
        <w:t>refutada com transparência</w:t>
      </w:r>
      <w:r>
        <w:rPr>
          <w:rFonts w:ascii="Arial" w:hAnsi="Arial"/>
        </w:rPr>
        <w:t xml:space="preserve">. Esse resultado negativo, longe de ser um fracasso, conduziu a dois avanços concretos: o </w:t>
      </w:r>
      <w:r>
        <w:rPr>
          <w:rFonts w:ascii="Arial" w:hAnsi="Arial"/>
          <w:b/>
        </w:rPr>
        <w:t>diagnóstico da armadilha de vazamento posicional</w:t>
      </w:r>
      <w:r>
        <w:rPr>
          <w:rFonts w:ascii="Arial" w:hAnsi="Arial"/>
        </w:rPr>
        <w:t xml:space="preserve"> em benchmarks de patogenicidade e a construção de um </w:t>
      </w:r>
      <w:r>
        <w:rPr>
          <w:rFonts w:ascii="Arial" w:hAnsi="Arial"/>
          <w:b/>
        </w:rPr>
        <w:t>classificador consciente de domínio funcional</w:t>
      </w:r>
      <w:r>
        <w:rPr>
          <w:rFonts w:ascii="Arial" w:hAnsi="Arial"/>
        </w:rPr>
        <w:t xml:space="preserve"> que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(AUC 0,847; DeLong p = 1,8 × 10⁻¹³), superando modelos que apenas memorizam. Combinado a um modelo de linguagem de proteínas autêntico (ESM-2), o modelo-carro-chefe alcança </w:t>
      </w:r>
      <w:r>
        <w:rPr>
          <w:rFonts w:ascii="Arial" w:hAnsi="Arial"/>
          <w:b/>
        </w:rPr>
        <w:t>AUC externa de 0,909</w:t>
      </w:r>
      <w:r>
        <w:rPr>
          <w:rFonts w:ascii="Arial" w:hAnsi="Arial"/>
        </w:rPr>
        <w:t xml:space="preserve">, com explicabilidade demonstrada por valores de Shapley. O PrimeVarClass entrega esse método de forma aberta, explicável, auditável e eticamente contida, com aplicação direta ao contexto brasileiro de saúde de precisão e formação científica. Sua maior força não é um número, mas um </w:t>
      </w:r>
      <w:r>
        <w:rPr>
          <w:rFonts w:ascii="Arial" w:hAnsi="Arial"/>
          <w:b/>
        </w:rPr>
        <w:t>compromisso com a ciência honesta</w:t>
      </w:r>
      <w:r>
        <w:rPr>
          <w:rFonts w:ascii="Arial" w:hAnsi="Arial"/>
        </w:rPr>
        <w:t xml:space="preserve"> — o tipo de trabalho que a comunidade pode confiar, reproduzir e construir em cima.</w:t>
      </w:r>
    </w:p>
    <w:p>
      <w:pPr>
        <w:pStyle w:val="Heading1"/>
      </w:pPr>
      <w:r>
        <w:t>Reprodutibilidade e disponibilidade de dados</w:t>
      </w:r>
    </w:p>
    <w:p>
      <w:pPr>
        <w:jc w:val="both"/>
      </w:pPr>
      <w:r>
        <w:rPr>
          <w:rFonts w:ascii="Arial" w:hAnsi="Arial"/>
        </w:rPr>
        <w:t xml:space="preserve">Todos os resultados derivam de dados </w:t>
      </w:r>
      <w:r>
        <w:rPr>
          <w:rFonts w:ascii="Arial" w:hAnsi="Arial"/>
          <w:b/>
        </w:rPr>
        <w:t>públicos</w:t>
      </w:r>
      <w:r>
        <w:rPr>
          <w:rFonts w:ascii="Arial" w:hAnsi="Arial"/>
        </w:rPr>
        <w:t xml:space="preserve"> (ClinVar, painéis de especialistas ENIGMA/ClinGen, gnomAD) e de código </w:t>
      </w:r>
      <w:r>
        <w:rPr>
          <w:rFonts w:ascii="Arial" w:hAnsi="Arial"/>
          <w:b/>
        </w:rPr>
        <w:t>aberto e reexecutável</w:t>
      </w:r>
      <w:r>
        <w:rPr>
          <w:rFonts w:ascii="Arial" w:hAnsi="Arial"/>
        </w:rPr>
        <w:t xml:space="preserve">, disponível no repositório público do projeto — </w:t>
      </w:r>
      <w:r>
        <w:rPr>
          <w:rFonts w:ascii="Arial" w:hAnsi="Arial"/>
          <w:b/>
        </w:rPr>
        <w:t>https://github.com/WesleyCapucho/primevarclass</w:t>
      </w:r>
      <w:r>
        <w:rPr>
          <w:rFonts w:ascii="Arial" w:hAnsi="Arial"/>
        </w:rPr>
        <w:t xml:space="preserve"> — com testes automatizados e integração contínua (CI). Todos os números e figuras deste artigo são gerados por </w:t>
      </w:r>
      <w:r>
        <w:rPr>
          <w:rFonts w:ascii="Arial" w:hAnsi="Arial"/>
          <w:i/>
        </w:rPr>
        <w:t>scripts</w:t>
      </w:r>
      <w:r>
        <w:rPr>
          <w:rFonts w:ascii="Arial" w:hAnsi="Arial"/>
        </w:rPr>
        <w:t xml:space="preserve"> versionados (anotação de domínio, pontuação ESM-2, validação anti-vazamento, robustez Monte Carlo, meta-análise, SHAP e geração de figuras), com sementes aleatórias fixadas para reprodutibilidade determinística. </w:t>
      </w:r>
      <w:r>
        <w:rPr>
          <w:rFonts w:ascii="Arial" w:hAnsi="Arial"/>
          <w:b/>
        </w:rPr>
        <w:t>Nenhum dado, figura ou métrica foi fabricado ou simulado.</w:t>
      </w:r>
    </w:p>
    <w:p>
      <w:pPr>
        <w:pStyle w:val="Heading1"/>
      </w:pPr>
      <w:r>
        <w:t>Lista de Figuras e Tabelas</w:t>
      </w:r>
    </w:p>
    <w:p>
      <w:pPr>
        <w:pStyle w:val="ListBullet"/>
      </w:pPr>
      <w:r>
        <w:rPr>
          <w:rFonts w:ascii="Arial" w:hAnsi="Arial"/>
          <w:b/>
        </w:rPr>
        <w:t>Figura 1.</w:t>
      </w:r>
      <w:r>
        <w:rPr>
          <w:rFonts w:ascii="Arial" w:hAnsi="Arial"/>
        </w:rPr>
        <w:t xml:space="preserve"> Mecanismo BRCA1/BRCA2 no reparo do DNA e o câncer hereditário de mama e ovário (HBOC).</w:t>
      </w:r>
    </w:p>
    <w:p>
      <w:pPr>
        <w:pStyle w:val="ListBullet"/>
      </w:pPr>
      <w:r>
        <w:rPr>
          <w:rFonts w:ascii="Arial" w:hAnsi="Arial"/>
          <w:b/>
        </w:rPr>
        <w:t>Figura 2.</w:t>
      </w:r>
      <w:r>
        <w:rPr>
          <w:rFonts w:ascii="Arial" w:hAnsi="Arial"/>
        </w:rPr>
        <w:t xml:space="preserve"> Estruturas 3D experimentais das proteínas-alvo (BRCA1 RING/BRCT; BRCA2 DBD–DSS1–ssDNA).</w:t>
      </w:r>
    </w:p>
    <w:p>
      <w:pPr>
        <w:pStyle w:val="ListBullet"/>
      </w:pPr>
      <w:r>
        <w:rPr>
          <w:rFonts w:ascii="Arial" w:hAnsi="Arial"/>
          <w:b/>
        </w:rPr>
        <w:t>Figura 3.</w:t>
      </w:r>
      <w:r>
        <w:rPr>
          <w:rFonts w:ascii="Arial" w:hAnsi="Arial"/>
        </w:rPr>
        <w:t xml:space="preserve"> Consequência estrutural 3D das variantes que o modelo pontua como patogênicas: Cys61Gly no sítio de zinco do RING e sobreposição nativo×mutante de Met1775Arg no BRCT.</w:t>
      </w:r>
    </w:p>
    <w:p>
      <w:pPr>
        <w:pStyle w:val="ListBullet"/>
      </w:pPr>
      <w:r>
        <w:rPr>
          <w:rFonts w:ascii="Arial" w:hAnsi="Arial"/>
          <w:b/>
        </w:rPr>
        <w:t>Figura 4.</w:t>
      </w:r>
      <w:r>
        <w:rPr>
          <w:rFonts w:ascii="Arial" w:hAnsi="Arial"/>
        </w:rPr>
        <w:t xml:space="preserve"> Arquitetura de domínios funcionais de BRCA1/BRCA2 com variantes sobrepostas.</w:t>
      </w:r>
    </w:p>
    <w:p>
      <w:pPr>
        <w:pStyle w:val="ListBullet"/>
      </w:pPr>
      <w:r>
        <w:rPr>
          <w:rFonts w:ascii="Arial" w:hAnsi="Arial"/>
          <w:b/>
        </w:rPr>
        <w:t>Figura 5.</w:t>
      </w:r>
      <w:r>
        <w:rPr>
          <w:rFonts w:ascii="Arial" w:hAnsi="Arial"/>
        </w:rPr>
        <w:t xml:space="preserve"> Fração de variantes patogênicas por região funcional.</w:t>
      </w:r>
    </w:p>
    <w:p>
      <w:pPr>
        <w:pStyle w:val="ListBullet"/>
      </w:pPr>
      <w:r>
        <w:rPr>
          <w:rFonts w:ascii="Arial" w:hAnsi="Arial"/>
          <w:b/>
        </w:rPr>
        <w:t>Figura 6.</w:t>
      </w:r>
      <w:r>
        <w:rPr>
          <w:rFonts w:ascii="Arial" w:hAnsi="Arial"/>
        </w:rPr>
        <w:t xml:space="preserve"> Distribuição bootstrap (B = 2000) da AUC externa.</w:t>
      </w:r>
    </w:p>
    <w:p>
      <w:pPr>
        <w:pStyle w:val="ListBullet"/>
      </w:pPr>
      <w:r>
        <w:rPr>
          <w:rFonts w:ascii="Arial" w:hAnsi="Arial"/>
          <w:b/>
        </w:rPr>
        <w:t>Figura 7.</w:t>
      </w:r>
      <w:r>
        <w:rPr>
          <w:rFonts w:ascii="Arial" w:hAnsi="Arial"/>
        </w:rPr>
        <w:t xml:space="preserve"> Teste de permutação (N = 2000).</w:t>
      </w:r>
    </w:p>
    <w:p>
      <w:pPr>
        <w:pStyle w:val="ListBullet"/>
      </w:pPr>
      <w:r>
        <w:rPr>
          <w:rFonts w:ascii="Arial" w:hAnsi="Arial"/>
          <w:b/>
        </w:rPr>
        <w:t>Figura 8.</w:t>
      </w:r>
      <w:r>
        <w:rPr>
          <w:rFonts w:ascii="Arial" w:hAnsi="Arial"/>
        </w:rPr>
        <w:t xml:space="preserve"> Estabilidade da AUC em 12 sementes de validação cruzada.</w:t>
      </w:r>
    </w:p>
    <w:p>
      <w:pPr>
        <w:pStyle w:val="ListBullet"/>
      </w:pPr>
      <w:r>
        <w:rPr>
          <w:rFonts w:ascii="Arial" w:hAnsi="Arial"/>
          <w:b/>
        </w:rPr>
        <w:t>Figura 9.</w:t>
      </w:r>
      <w:r>
        <w:rPr>
          <w:rFonts w:ascii="Arial" w:hAnsi="Arial"/>
        </w:rPr>
        <w:t xml:space="preserve"> Curva de calibração e escore de Brier.</w:t>
      </w:r>
    </w:p>
    <w:p>
      <w:pPr>
        <w:pStyle w:val="ListBullet"/>
      </w:pPr>
      <w:r>
        <w:rPr>
          <w:rFonts w:ascii="Arial" w:hAnsi="Arial"/>
          <w:b/>
        </w:rPr>
        <w:t>Figura 10.</w:t>
      </w:r>
      <w:r>
        <w:rPr>
          <w:rFonts w:ascii="Arial" w:hAnsi="Arial"/>
        </w:rPr>
        <w:t xml:space="preserve"> Curvas ROC nas coortes externas.</w:t>
      </w:r>
    </w:p>
    <w:p>
      <w:pPr>
        <w:pStyle w:val="ListBullet"/>
      </w:pPr>
      <w:r>
        <w:rPr>
          <w:rFonts w:ascii="Arial" w:hAnsi="Arial"/>
          <w:b/>
        </w:rPr>
        <w:t>Figura 11.</w:t>
      </w:r>
      <w:r>
        <w:rPr>
          <w:rFonts w:ascii="Arial" w:hAnsi="Arial"/>
        </w:rPr>
        <w:t xml:space="preserve"> Forest plot da meta-análise de generalização externa.</w:t>
      </w:r>
    </w:p>
    <w:p>
      <w:pPr>
        <w:pStyle w:val="ListBullet"/>
      </w:pPr>
      <w:r>
        <w:rPr>
          <w:rFonts w:ascii="Arial" w:hAnsi="Arial"/>
          <w:b/>
        </w:rPr>
        <w:t>Figura 12.</w:t>
      </w:r>
      <w:r>
        <w:rPr>
          <w:rFonts w:ascii="Arial" w:hAnsi="Arial"/>
        </w:rPr>
        <w:t xml:space="preserve"> Explicabilidade (SHAP) do modelo domínio + ESM-2.</w:t>
      </w:r>
    </w:p>
    <w:p>
      <w:pPr>
        <w:pStyle w:val="ListBullet"/>
      </w:pPr>
      <w:r>
        <w:rPr>
          <w:rFonts w:ascii="Arial" w:hAnsi="Arial"/>
          <w:b/>
        </w:rPr>
        <w:t>Tabela 1.</w:t>
      </w:r>
      <w:r>
        <w:rPr>
          <w:rFonts w:ascii="Arial" w:hAnsi="Arial"/>
        </w:rPr>
        <w:t xml:space="preserve"> Desempenho por conjunto de características (refutação dos primos).</w:t>
      </w:r>
    </w:p>
    <w:p>
      <w:pPr>
        <w:pStyle w:val="ListBullet"/>
      </w:pPr>
      <w:r>
        <w:rPr>
          <w:rFonts w:ascii="Arial" w:hAnsi="Arial"/>
          <w:b/>
        </w:rPr>
        <w:t>Tabela 2.</w:t>
      </w:r>
      <w:r>
        <w:rPr>
          <w:rFonts w:ascii="Arial" w:hAnsi="Arial"/>
        </w:rPr>
        <w:t xml:space="preserve"> Comparações pareadas (DeLong).</w:t>
      </w:r>
    </w:p>
    <w:p>
      <w:pPr>
        <w:pStyle w:val="ListBullet"/>
      </w:pPr>
      <w:r>
        <w:rPr>
          <w:rFonts w:ascii="Arial" w:hAnsi="Arial"/>
          <w:b/>
        </w:rPr>
        <w:t>Tabela 3.</w:t>
      </w:r>
      <w:r>
        <w:rPr>
          <w:rFonts w:ascii="Arial" w:hAnsi="Arial"/>
        </w:rPr>
        <w:t xml:space="preserve"> Modelo consciente de domínio: CV bloqueada por posição e generalização externa.</w:t>
      </w:r>
    </w:p>
    <w:p>
      <w:pPr>
        <w:pStyle w:val="ListBullet"/>
      </w:pPr>
      <w:r>
        <w:rPr>
          <w:rFonts w:ascii="Arial" w:hAnsi="Arial"/>
          <w:b/>
        </w:rPr>
        <w:t>Tabela 4.</w:t>
      </w:r>
      <w:r>
        <w:rPr>
          <w:rFonts w:ascii="Arial" w:hAnsi="Arial"/>
        </w:rPr>
        <w:t xml:space="preserve"> Meta-análise da AUC externa por coorte.</w:t>
      </w:r>
    </w:p>
    <w:p>
      <w:pPr>
        <w:pStyle w:val="ListBullet"/>
      </w:pPr>
      <w:r>
        <w:rPr>
          <w:rFonts w:ascii="Arial" w:hAnsi="Arial"/>
          <w:b/>
        </w:rPr>
        <w:t>Tabela 5.</w:t>
      </w:r>
      <w:r>
        <w:rPr>
          <w:rFonts w:ascii="Arial" w:hAnsi="Arial"/>
        </w:rPr>
        <w:t xml:space="preserve"> Modelo-carro-chefe domínio + ESM-2 sob o protocolo anti-vazamento.</w:t>
      </w:r>
    </w:p>
    <w:p>
      <w:pPr>
        <w:pStyle w:val="Heading1"/>
      </w:pPr>
      <w:r>
        <w:t>Referências</w:t>
      </w:r>
    </w:p>
    <w:p>
      <w:pPr>
        <w:jc w:val="both"/>
      </w:pPr>
      <w:r>
        <w:rPr>
          <w:rFonts w:ascii="Arial" w:hAnsi="Arial"/>
          <w:i/>
        </w:rPr>
        <w:t>Lista completa, em ordem alfabética (sistema autor-data, NBR 6023), de todas as referências efetivamente citadas no corpo deste artigo. Fontes primárias adicionais consultadas na revisão de literatura, mas não citadas diretamente no texto, estão disponíveis para consulta e transparência em [`referencias_abnt.md`](referencias_abnt.md) (52 registros, com DOIs, recuperados via PubMed/NLM).</w:t>
      </w:r>
    </w:p>
    <w:p>
      <w:pPr>
        <w:jc w:val="both"/>
      </w:pPr>
      <w:r>
        <w:rPr>
          <w:rFonts w:ascii="Arial" w:hAnsi="Arial"/>
        </w:rPr>
        <w:t xml:space="preserve">1. ACHATZ, M. I. et al. Recommendations for advancing the diagnosis and management of hereditary breast and ovarian cancer in Brazil. </w:t>
      </w:r>
      <w:r>
        <w:rPr>
          <w:rFonts w:ascii="Arial" w:hAnsi="Arial"/>
          <w:b/>
        </w:rPr>
        <w:t>JCO Glob Oncol</w:t>
      </w:r>
      <w:r>
        <w:rPr>
          <w:rFonts w:ascii="Arial" w:hAnsi="Arial"/>
        </w:rPr>
        <w:t>, v. 6, p. 439-452, 2020. DOI: 10.1200/JGO.19.00170.</w:t>
      </w:r>
    </w:p>
    <w:p>
      <w:pPr>
        <w:jc w:val="both"/>
      </w:pPr>
      <w:r>
        <w:rPr>
          <w:rFonts w:ascii="Arial" w:hAnsi="Arial"/>
        </w:rPr>
        <w:t xml:space="preserve">2. CHENG, J. et al. Accurate proteome-wide missense variant effect prediction with AlphaMissense.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381, n. 6664, eadg7492, 2023. DOI: 10.1126/science.adg7492.</w:t>
      </w:r>
    </w:p>
    <w:p>
      <w:pPr>
        <w:jc w:val="both"/>
      </w:pPr>
      <w:r>
        <w:rPr>
          <w:rFonts w:ascii="Arial" w:hAnsi="Arial"/>
        </w:rPr>
        <w:t xml:space="preserve">3. DELONG, E. R.; DELONG, D. M.; CLARKE-PEARSON, D. L. Comparing the areas under two or more correlated ROC curves: a nonparametric approach. </w:t>
      </w:r>
      <w:r>
        <w:rPr>
          <w:rFonts w:ascii="Arial" w:hAnsi="Arial"/>
          <w:b/>
        </w:rPr>
        <w:t>Biometrics</w:t>
      </w:r>
      <w:r>
        <w:rPr>
          <w:rFonts w:ascii="Arial" w:hAnsi="Arial"/>
        </w:rPr>
        <w:t>, v. 44, n. 3, p. 837-845, 1988.</w:t>
      </w:r>
    </w:p>
    <w:p>
      <w:pPr>
        <w:jc w:val="both"/>
      </w:pPr>
      <w:r>
        <w:rPr>
          <w:rFonts w:ascii="Arial" w:hAnsi="Arial"/>
        </w:rPr>
        <w:t xml:space="preserve">4. DINES, J. N. et al. Systematic misclassification of missense variants in BRCA1 and BRCA2 "coldspots".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22, n. 5, p. 825-830, 2020. DOI: 10.1038/s41436-019-0740-6.</w:t>
      </w:r>
    </w:p>
    <w:p>
      <w:pPr>
        <w:jc w:val="both"/>
      </w:pPr>
      <w:r>
        <w:rPr>
          <w:rFonts w:ascii="Arial" w:hAnsi="Arial"/>
        </w:rPr>
        <w:t xml:space="preserve">5. FAVALLI, V. et al. Machine learning-based reclassification of germline variants of unknown significance: the RENOVO algorithm.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108, n. 4, p. 682-695, 2021. DOI: 10.1016/j.ajhg.2021.03.010.</w:t>
      </w:r>
    </w:p>
    <w:p>
      <w:pPr>
        <w:jc w:val="both"/>
      </w:pPr>
      <w:r>
        <w:rPr>
          <w:rFonts w:ascii="Arial" w:hAnsi="Arial"/>
        </w:rPr>
        <w:t xml:space="preserve">6. FERNANDES, G. C. et al. Differential profile of BRCA1 vs. BRCA2 mutated families: a characterization of the main differences and similarities in patients. </w:t>
      </w:r>
      <w:r>
        <w:rPr>
          <w:rFonts w:ascii="Arial" w:hAnsi="Arial"/>
          <w:b/>
        </w:rPr>
        <w:t>Asian Pac J Cancer Prev</w:t>
      </w:r>
      <w:r>
        <w:rPr>
          <w:rFonts w:ascii="Arial" w:hAnsi="Arial"/>
        </w:rPr>
        <w:t>, v. 20, n. 6, p. 1655-1660, 2019. DOI: 10.31557/APJCP.2019.20.6.1655.</w:t>
      </w:r>
    </w:p>
    <w:p>
      <w:pPr>
        <w:jc w:val="both"/>
      </w:pPr>
      <w:r>
        <w:rPr>
          <w:rFonts w:ascii="Arial" w:hAnsi="Arial"/>
        </w:rPr>
        <w:t xml:space="preserve">7. FINDLAY, G. M. et al. Saturation editing of genomic regions by multiplex homology-directed repair.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513, n. 7516, p. 120-3, 2014. DOI: 10.1038/nature13695.</w:t>
      </w:r>
    </w:p>
    <w:p>
      <w:pPr>
        <w:jc w:val="both"/>
      </w:pPr>
      <w:r>
        <w:rPr>
          <w:rFonts w:ascii="Arial" w:hAnsi="Arial"/>
        </w:rPr>
        <w:t xml:space="preserve">8. HART, S. N. et al. Prediction of the functional impact of missense variants in BRCA1 and BRCA2 with BRCA-ML. </w:t>
      </w:r>
      <w:r>
        <w:rPr>
          <w:rFonts w:ascii="Arial" w:hAnsi="Arial"/>
          <w:b/>
        </w:rPr>
        <w:t>NPJ Breast Cancer</w:t>
      </w:r>
      <w:r>
        <w:rPr>
          <w:rFonts w:ascii="Arial" w:hAnsi="Arial"/>
        </w:rPr>
        <w:t>, v. 6, 13, 2020. DOI: 10.1038/s41523-020-0159-x.</w:t>
      </w:r>
    </w:p>
    <w:p>
      <w:pPr>
        <w:jc w:val="both"/>
      </w:pPr>
      <w:r>
        <w:rPr>
          <w:rFonts w:ascii="Arial" w:hAnsi="Arial"/>
        </w:rPr>
        <w:t xml:space="preserve">9. IOANNIDIS, N. M. et al. REVEL: an ensemble method for predicting the pathogenicity of rare missense variants.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99, n. 4, p. 877-885, 2016. DOI: 10.1016/j.ajhg.2016.08.016.</w:t>
      </w:r>
    </w:p>
    <w:p>
      <w:pPr>
        <w:jc w:val="both"/>
      </w:pPr>
      <w:r>
        <w:rPr>
          <w:rFonts w:ascii="Arial" w:hAnsi="Arial"/>
        </w:rPr>
        <w:t xml:space="preserve">10. KARCZEWSKI, K. J. et al. The mutational constraint spectrum quantified from variation in 141,456 humans (gnomAD).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581, n. 7809, p. 434-443, 2020. DOI: 10.1038/s41586-020-2308-7.</w:t>
      </w:r>
    </w:p>
    <w:p>
      <w:pPr>
        <w:jc w:val="both"/>
      </w:pPr>
      <w:r>
        <w:rPr>
          <w:rFonts w:ascii="Arial" w:hAnsi="Arial"/>
        </w:rPr>
        <w:t xml:space="preserve">11. KERNBACH, J. M.; STAARTJES, V. E. Foundations of machine learning-based clinical prediction modeling: Part II — generalization and overfitting. </w:t>
      </w:r>
      <w:r>
        <w:rPr>
          <w:rFonts w:ascii="Arial" w:hAnsi="Arial"/>
          <w:b/>
        </w:rPr>
        <w:t>Acta Neurochir Suppl</w:t>
      </w:r>
      <w:r>
        <w:rPr>
          <w:rFonts w:ascii="Arial" w:hAnsi="Arial"/>
        </w:rPr>
        <w:t>, v. 134, p. 15-21, 2022. DOI: 10.1007/978-3-030-85292-4_3.</w:t>
      </w:r>
    </w:p>
    <w:p>
      <w:pPr>
        <w:jc w:val="both"/>
      </w:pPr>
      <w:r>
        <w:rPr>
          <w:rFonts w:ascii="Arial" w:hAnsi="Arial"/>
        </w:rPr>
        <w:t xml:space="preserve">12. LASTA, J. L.; GROTO, A. D.; BRANDALIZE, A. P. C. Assessment of medical knowledge toward genetic testing for individuals with hereditary breast and ovarian cancer syndrome in Brazil. </w:t>
      </w:r>
      <w:r>
        <w:rPr>
          <w:rFonts w:ascii="Arial" w:hAnsi="Arial"/>
          <w:b/>
        </w:rPr>
        <w:t>Prev Med Rep</w:t>
      </w:r>
      <w:r>
        <w:rPr>
          <w:rFonts w:ascii="Arial" w:hAnsi="Arial"/>
        </w:rPr>
        <w:t>, v. 35, p. 102356, 2023. DOI: 10.1016/j.pmedr.2023.102356.</w:t>
      </w:r>
    </w:p>
    <w:p>
      <w:pPr>
        <w:jc w:val="both"/>
      </w:pPr>
      <w:r>
        <w:rPr>
          <w:rFonts w:ascii="Arial" w:hAnsi="Arial"/>
        </w:rPr>
        <w:t xml:space="preserve">13. LIN, Z. et al. Evolutionary-scale prediction of atomic-level protein structure with a language model (ESM-2).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379, n. 6637, p. 1123-1130, 2023. DOI: 10.1126/science.ade2574.</w:t>
      </w:r>
    </w:p>
    <w:p>
      <w:pPr>
        <w:jc w:val="both"/>
      </w:pPr>
      <w:r>
        <w:rPr>
          <w:rFonts w:ascii="Arial" w:hAnsi="Arial"/>
        </w:rPr>
        <w:t xml:space="preserve">14. MEIER, J. et al. Language models enable zero-shot prediction of the effects of mutations on protein function. </w:t>
      </w:r>
      <w:r>
        <w:rPr>
          <w:rFonts w:ascii="Arial" w:hAnsi="Arial"/>
          <w:b/>
        </w:rPr>
        <w:t>NeurIPS</w:t>
      </w:r>
      <w:r>
        <w:rPr>
          <w:rFonts w:ascii="Arial" w:hAnsi="Arial"/>
        </w:rPr>
        <w:t>, 2021.</w:t>
      </w:r>
    </w:p>
    <w:p>
      <w:pPr>
        <w:jc w:val="both"/>
      </w:pPr>
      <w:r>
        <w:rPr>
          <w:rFonts w:ascii="Arial" w:hAnsi="Arial"/>
        </w:rPr>
        <w:t xml:space="preserve">15. NORONHA, M. M. et al. Beyond 1100delC: distinct CHEK2 variants and unique cancer phenotypes in Northeast Brazil. </w:t>
      </w:r>
      <w:r>
        <w:rPr>
          <w:rFonts w:ascii="Arial" w:hAnsi="Arial"/>
          <w:b/>
        </w:rPr>
        <w:t>Fam Cancer</w:t>
      </w:r>
      <w:r>
        <w:rPr>
          <w:rFonts w:ascii="Arial" w:hAnsi="Arial"/>
        </w:rPr>
        <w:t>, v. 25, n. 1, p. 8, 2026. DOI: 10.1007/s10689-025-00526-z.</w:t>
      </w:r>
    </w:p>
    <w:p>
      <w:pPr>
        <w:jc w:val="both"/>
      </w:pPr>
      <w:r>
        <w:rPr>
          <w:rFonts w:ascii="Arial" w:hAnsi="Arial"/>
        </w:rPr>
        <w:t xml:space="preserve">16. PALMERO, E. I. et al. Clinical characterization and risk profile of individuals seeking genetic counseling for hereditary breast cancer in Brazil. </w:t>
      </w:r>
      <w:r>
        <w:rPr>
          <w:rFonts w:ascii="Arial" w:hAnsi="Arial"/>
          <w:b/>
        </w:rPr>
        <w:t>J Genet Couns</w:t>
      </w:r>
      <w:r>
        <w:rPr>
          <w:rFonts w:ascii="Arial" w:hAnsi="Arial"/>
        </w:rPr>
        <w:t>, v. 16, n. 3, p. 363-71, 2007. DOI: 10.1007/s10897-006-9073-0.</w:t>
      </w:r>
    </w:p>
    <w:p>
      <w:pPr>
        <w:jc w:val="both"/>
      </w:pPr>
      <w:r>
        <w:rPr>
          <w:rFonts w:ascii="Arial" w:hAnsi="Arial"/>
        </w:rPr>
        <w:t xml:space="preserve">17. PARSONS, M. T. et al. Large scale multifactorial likelihood quantitative analysis of BRCA1 and BRCA2 variants: an ENIGMA resource to support clinical variant classification. </w:t>
      </w:r>
      <w:r>
        <w:rPr>
          <w:rFonts w:ascii="Arial" w:hAnsi="Arial"/>
          <w:b/>
        </w:rPr>
        <w:t>Hum Mutat</w:t>
      </w:r>
      <w:r>
        <w:rPr>
          <w:rFonts w:ascii="Arial" w:hAnsi="Arial"/>
        </w:rPr>
        <w:t>, v. 40, n. 9, p. 1557-1578, 2019. DOI: 10.1002/humu.23818.</w:t>
      </w:r>
    </w:p>
    <w:p>
      <w:pPr>
        <w:jc w:val="both"/>
      </w:pPr>
      <w:r>
        <w:rPr>
          <w:rFonts w:ascii="Arial" w:hAnsi="Arial"/>
        </w:rPr>
        <w:t xml:space="preserve">18. PEJAVER, V. et al. Calibration of computational tools for missense variant pathogenicity classification and ClinGen recommendations for PP3/BP4 criteria.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109, n. 12, p. 2163-2177, 2022. DOI: 10.1016/j.ajhg.2022.10.013.</w:t>
      </w:r>
    </w:p>
    <w:p>
      <w:pPr>
        <w:jc w:val="both"/>
      </w:pPr>
      <w:r>
        <w:rPr>
          <w:rFonts w:ascii="Arial" w:hAnsi="Arial"/>
        </w:rPr>
        <w:t xml:space="preserve">19. RENTZSCH, P. et al. CADD: predicting the deleteriousness of variants throughout the human genome.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47, n. D1, p. D886-D894, 2019. DOI: 10.1093/nar/gky1016.</w:t>
      </w:r>
    </w:p>
    <w:p>
      <w:pPr>
        <w:jc w:val="both"/>
      </w:pPr>
      <w:r>
        <w:rPr>
          <w:rFonts w:ascii="Arial" w:hAnsi="Arial"/>
        </w:rPr>
        <w:t xml:space="preserve">20. RIBEIRO, A. A. F. et al. Molecular characterization of hereditary breast and ovarian cancer patients from a public precision medicine service in the Southeast Brazilian population. </w:t>
      </w:r>
      <w:r>
        <w:rPr>
          <w:rFonts w:ascii="Arial" w:hAnsi="Arial"/>
          <w:b/>
        </w:rPr>
        <w:t>Sci Rep</w:t>
      </w:r>
      <w:r>
        <w:rPr>
          <w:rFonts w:ascii="Arial" w:hAnsi="Arial"/>
        </w:rPr>
        <w:t>, v. 15, n. 1, p. 33495, 2025. DOI: 10.1038/s41598-025-16870-0.</w:t>
      </w:r>
    </w:p>
    <w:p>
      <w:pPr>
        <w:jc w:val="both"/>
      </w:pPr>
      <w:r>
        <w:rPr>
          <w:rFonts w:ascii="Arial" w:hAnsi="Arial"/>
        </w:rPr>
        <w:t xml:space="preserve">21. RICHARDS, S. et al. Standards and guidelines for the interpretation of sequence variants: a joint consensus recommendation of the American College of Medical Genetics and Genomics and the Association for Molecular Pathology.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17, n. 5, p. 405-24, 2015. DOI: 10.1038/gim.2015.30.</w:t>
      </w:r>
    </w:p>
    <w:p>
      <w:pPr>
        <w:jc w:val="both"/>
      </w:pPr>
      <w:r>
        <w:rPr>
          <w:rFonts w:ascii="Arial" w:hAnsi="Arial"/>
        </w:rPr>
        <w:t xml:space="preserve">22. TIAN, Y. et al. REVEL and BayesDel outperform other in silico meta-predictors for clinical variant classification. </w:t>
      </w:r>
      <w:r>
        <w:rPr>
          <w:rFonts w:ascii="Arial" w:hAnsi="Arial"/>
          <w:b/>
        </w:rPr>
        <w:t>Sci Rep</w:t>
      </w:r>
      <w:r>
        <w:rPr>
          <w:rFonts w:ascii="Arial" w:hAnsi="Arial"/>
        </w:rPr>
        <w:t>, v. 9, n. 1, p. 12752, 2019. DOI: 10.1038/s41598-019-49224-8.</w:t>
      </w:r>
    </w:p>
    <w:p>
      <w:pPr>
        <w:jc w:val="both"/>
      </w:pPr>
      <w:r>
        <w:rPr>
          <w:rFonts w:ascii="Arial" w:hAnsi="Arial"/>
        </w:rPr>
        <w:t xml:space="preserve">23. TOLAND, A. E.; ANDREASSEN, P. R. DNA repair-related functional assays for the classification of BRCA1 and BRCA2 variants: a critical review and needs assessment. </w:t>
      </w:r>
      <w:r>
        <w:rPr>
          <w:rFonts w:ascii="Arial" w:hAnsi="Arial"/>
          <w:b/>
        </w:rPr>
        <w:t>J Med Genet</w:t>
      </w:r>
      <w:r>
        <w:rPr>
          <w:rFonts w:ascii="Arial" w:hAnsi="Arial"/>
        </w:rPr>
        <w:t>, v. 54, n. 11, p. 721-731, 2017. DOI: 10.1136/jmedgenet-2017-104707.</w:t>
      </w:r>
    </w:p>
    <w:p>
      <w:pPr>
        <w:jc w:val="both"/>
      </w:pPr>
      <w:r>
        <w:rPr>
          <w:rFonts w:ascii="Arial" w:hAnsi="Arial"/>
        </w:rPr>
        <w:t xml:space="preserve">24. TORRETTO, G. C. et al. Domain-specific computational, functional and structural methods enable interpretation of BRCT variants of uncertain significance. </w:t>
      </w:r>
      <w:r>
        <w:rPr>
          <w:rFonts w:ascii="Arial" w:hAnsi="Arial"/>
          <w:b/>
        </w:rPr>
        <w:t>Curr Oncol</w:t>
      </w:r>
      <w:r>
        <w:rPr>
          <w:rFonts w:ascii="Arial" w:hAnsi="Arial"/>
        </w:rPr>
        <w:t>, v. 33, n. 6, 2026.</w:t>
      </w:r>
    </w:p>
    <w:p>
      <w:pPr>
        <w:jc w:val="both"/>
      </w:pPr>
      <w:r>
        <w:rPr>
          <w:rFonts w:ascii="Arial" w:hAnsi="Arial"/>
        </w:rPr>
        <w:t xml:space="preserve">25. UNIPROT CONSORTIUM, THE. UniProt: the Universal Protein Knowledgebase in 2023.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51, n. D1, p. D523-D531, 2023. (BRCA1 P38398; BRCA2 P51587).</w:t>
      </w:r>
    </w:p>
    <w:p>
      <w:pPr>
        <w:jc w:val="both"/>
      </w:pPr>
      <w:r>
        <w:rPr>
          <w:rFonts w:ascii="Arial" w:hAnsi="Arial"/>
        </w:rPr>
        <w:t xml:space="preserve">26. YANG, H. et al. BRCA2 function in DNA binding and recombination from a BRCA2–DSS1–ssDNA structure.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297, n. 5588, p. 1837-1848, 2002. DOI: 10.1126/science.297.5588.1837.</w:t>
      </w:r>
    </w:p>
    <w:p>
      <w:pPr>
        <w:jc w:val="both"/>
      </w:pPr>
      <w:r>
        <w:rPr>
          <w:rFonts w:ascii="Arial" w:hAnsi="Arial"/>
        </w:rPr>
        <w:t xml:space="preserve">27. ZHANG, X. et al. Genetic constraint at single amino acid resolution in protein domains improves missense variant prioritisation and gene discovery. </w:t>
      </w:r>
      <w:r>
        <w:rPr>
          <w:rFonts w:ascii="Arial" w:hAnsi="Arial"/>
          <w:b/>
        </w:rPr>
        <w:t>Genome Med</w:t>
      </w:r>
      <w:r>
        <w:rPr>
          <w:rFonts w:ascii="Arial" w:hAnsi="Arial"/>
        </w:rPr>
        <w:t>, v. 16, n. 1, 88, 2024. DOI: 10.1186/s13073-024-01358-9.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24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