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no mapa de saturação por edição genômica (SGE) do BRCA1, padrão-ouro funcional (FINDLAY et al., 2018), separa variantes com e sem perda de função com AUC de 0,795 em 2.140 variantes (0,712 no ensaio HDR de Starita, n = 2.749). Isso é decisivo para o BRCA1: onde a coorte externa mais fraca continha apenas 21 positivos ruidosos (0,651), um mapa funcional de milhares de variantes confirma que a competência do modelo é real — a estimativa baixa reflete ruído de coorte pequena, não falha do método. É uma validação ortogonal contra fenótipo molecular medido em bancada,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delimitada com honestidade — em genes de patogenicidade truncante (PALB2, CHEK2) ou difusa (ATM), o sinal missense-domínio é fraco; num serviço público de oncogenética de Minas Gerais, as VUS de uma coorte de 210 pacientes do SUS concentraram-se justamente no ATM (7/35; RIBEIRO et al., 2025) — o gene onde o próprio método reconhece seu limite, e onde uma triagem calibrada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(SGE de Findlay, AUC 0,795; HDR de Starita,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e acompanhar em produção o módulo de aprendizado contínuo com laboratórios parceiros.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