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Autor:</w:t>
      </w:r>
      <w:r>
        <w:rPr>
          <w:rFonts w:ascii="Arial" w:hAnsi="Arial"/>
          <w:sz w:val="22"/>
        </w:rPr>
        <w:t xml:space="preserve"> Wesley Felipe Capucho — graduando em Engenharia Bioquímica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do(a) orientador(a) — a preencher⟩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Escola de Engenharia de Lorena, Universidade de São Paulo (EEL-USP) — Estrada Municipal do Campinho, s/nº, Ponte Nova, Lorena – SP, CEP 12602-810. Telefone: ⟨a preencher⟩. E-mail: wesleycapucho@usp.br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Escola de Engenharia de Lorena, Universidade de São Paulo (EEL-USP), Lorena – SP, Brasil.</w:t>
      </w:r>
    </w:p>
    <w:p>
      <w:pPr>
        <w:spacing w:after="40"/>
      </w:pPr>
      <w:r>
        <w:rPr>
          <w:rFonts w:ascii="Arial" w:hAnsi="Arial"/>
          <w:i/>
          <w:sz w:val="22"/>
        </w:rPr>
        <w:t>Formatação: A4, fonte Arial, corpo 12, espaçamento 1,5, em Língua Portuguesa (item 2.2.2 do Edital). Campos restantes entre ⟨…⟩ (nome do orientador e telefone institucional) a preencher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características derivadas de primos tiveram desempenho inferior (AUC 0,742) ao de uma simples identidade de aminoácidos (AUC 0,902)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(0,834 → 0,810;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do resíduo memoriza os dados de treino (AUC interna 0,885) mas colapsa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A base biológica desse problema reside na função de BRCA1 e BRCA2 na manutenção da integridade do genoma. Ambas são essenciais ao reparo de quebras de dupla fita do DNA pela via de </w:t>
      </w:r>
      <w:r>
        <w:rPr>
          <w:rFonts w:ascii="Arial" w:hAnsi="Arial"/>
          <w:b/>
        </w:rPr>
        <w:t>recombinação homóloga (RH)</w:t>
      </w:r>
      <w:r>
        <w:rPr>
          <w:rFonts w:ascii="Arial" w:hAnsi="Arial"/>
        </w:rPr>
        <w:t>, de alta fidelidade: BRCA2 controla o carregamento da recombinase RAD51 sobre o DNA de fita simples, enquanto BRCA1, em complexo com BARD1, atua na sinalização e no processamento do dano. Quando uma variante germinativa compromete essa função, a RH torna-se deficiente e a célula recorre a mecanismos de reparo propensos a erro, acumulando mutações e instabilidade genômica — o substrato da transformação maligna. Clinicamente, isso se traduz em risco elevado e precoce de câncer de mama e de ovário, com penetrância cumulativa que pode ultrapassar 70% ao longo da vida, e fundamenta tanto estratégias de redução de risco quanto terapias-alvo (inibidores de PARP). A Figura 1 sintetiza esse mecanismo.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58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Mecanismo biológico que conecta as proteínas BRCA1/BRCA2 ao câncer hereditário de mama e ovário (HBOC). À esquerda (verde), em uma célula com BRCA1/BRCA2 funcionais, uma quebra de dupla fita no DNA é reparada com fidelidade pela via de recombinação homóloga (RH) — na qual essas proteínas recrutam a recombinase RAD51 —, mantendo a estabilidade genômica e protegendo contra o câncer. À direita (vermelho), uma variante patogênica germinativa (por exemplo, Cys61Gly no domínio RING ou Met1775Arg no domínio BRCT do BRCA1) compromete um domínio funcional crítico, tornando a RH deficiente; o DNA passa a ser reparado por vias propensas a erro, com acúmulo de mutações, instabilidade genômica e, por fim, tumorigênese. A penetrância é elevada (risco cumulativo de câncer de mama de ~45–72% e de ovário de ~11–44% ao longo da vida em portadoras de BRCA1/BRCA2) e a deficiência de RH é explorada terapeuticamente por inibidores de PARP (letalidade sintética). Este é o contexto clínico que torna crítica a classificação precisa das variantes.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2,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3512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5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(coordenadas reais do Protein Data Bank, renderizadas com PyMOL open-source).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(verde) / BARD1 (ciano); os íons de zinco (esferas roxas) são coordenados por cisteínas (bastões vermelhos) que formam o núcleo estrutural do domínio —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(verde) em complexo com DSS1 (ciano) e ssDNA (laranja), conforme Yang et al. (2002). As três regiões em destaque são os domínios funcionais críticos usados pelo modelo consciente de domínio.</w:t>
      </w:r>
    </w:p>
    <w:p>
      <w:pPr>
        <w:jc w:val="both"/>
      </w:pPr>
      <w:r>
        <w:rPr>
          <w:rFonts w:ascii="Arial" w:hAnsi="Arial"/>
        </w:rPr>
        <w:t>A importância dessas regiões torna-se evidente ao observar o efeito estrutural de variantes patogênicas conhecidas (Figura 3). No domínio RING, cisteínas como Cys61 e Cys64 coordenam um íon de zinco estrutural; substituições como p.Cys61Gly e p.Cys64Gly removem esses ligantes, colapsam o domínio e abolem a atividade de E3-ligase e a interação com BARD1. No domínio BRCT, a variante p.Met1775Arg desestabiliza a interface entre as duas repetições e prejudica o reconhecimento de fosfopeptídeos. Ou seja, as mutações patogênicas danificam precisamente as regiões que o modelo consciente de domínio identifica como críticas — a base biológica que sustenta a abordagem.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3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tation_con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3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Consequência estrutural de variantes patogênicas nos domínios críticos do BRCA1, a partir de estruturas experimentais reais (renderização com PyMOL open-source). </w:t>
      </w:r>
      <w:r>
        <w:rPr>
          <w:rFonts w:ascii="Arial" w:hAnsi="Arial"/>
          <w:b/>
          <w:i/>
          <w:sz w:val="20"/>
        </w:rPr>
        <w:t>(A)</w:t>
      </w:r>
      <w:r>
        <w:rPr>
          <w:rFonts w:ascii="Arial" w:hAnsi="Arial"/>
          <w:i/>
          <w:sz w:val="20"/>
        </w:rPr>
        <w:t xml:space="preserve"> Sítio de coordenação de zinco no domínio RING (PDB 1JM7): o íon Zn²⁺ (esfera roxa) é mantido por cisteínas, entre elas Cys61 e Cys64 (bastões vermelhos, rotulados). Variantes patogênicas clássicas como p.Cys61Gly e p.Cys64Gly substituem essas cisteínas, abolindo a coordenação do zinco e desestruturando o domínio. </w:t>
      </w:r>
      <w:r>
        <w:rPr>
          <w:rFonts w:ascii="Arial" w:hAnsi="Arial"/>
          <w:b/>
          <w:i/>
          <w:sz w:val="20"/>
        </w:rPr>
        <w:t>(B)</w:t>
      </w:r>
      <w:r>
        <w:rPr>
          <w:rFonts w:ascii="Arial" w:hAnsi="Arial"/>
          <w:i/>
          <w:sz w:val="20"/>
        </w:rPr>
        <w:t xml:space="preserve"> Domínio BRCT (PDB 1N5O) contendo a variante patogênica p.Met1775Arg: o resíduo 1775 (bastões vermelhos) situa-se na interface entre as duas repetições BRCT, e sua substituição desestabiliza o dobramento e compromete a função. Em ambos os casos, a mutação danifica exatamente a região funcional crítica — a mesma informação de região que o modelo utiliza para generalizar.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>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Sob validação bloqueada por posição, com o mesmo classificador,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(AUC-ROC, validação *out-of-fold*).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+ preditores externos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87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 preditores externos (só gnomAD AF)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0,616</w:t>
            </w:r>
          </w:p>
        </w:tc>
      </w:tr>
    </w:tbl>
    <w:p/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(DeLong).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0,902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−0,161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conclusão é inequívoca e honesta: </w:t>
      </w:r>
      <w:r>
        <w:rPr>
          <w:rFonts w:ascii="Arial" w:hAnsi="Arial"/>
          <w:b/>
        </w:rPr>
        <w:t>os números primos não agregam sinal preditivo</w:t>
      </w:r>
      <w:r>
        <w:rPr>
          <w:rFonts w:ascii="Arial" w:hAnsi="Arial"/>
        </w:rPr>
        <w:t xml:space="preserve"> para esta tarefa; onde parecem contribuir, é por características bioquímicas correlacionadas, e sua adição introduz ruído que reduz o desempenho.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Investigando por que certos modelos internos pareciam fortes, identificamos que a </w:t>
      </w:r>
      <w:r>
        <w:rPr>
          <w:rFonts w:ascii="Arial" w:hAnsi="Arial"/>
          <w:b/>
        </w:rPr>
        <w:t>posição bruta do resíduo</w:t>
      </w:r>
      <w:r>
        <w:rPr>
          <w:rFonts w:ascii="Arial" w:hAnsi="Arial"/>
        </w:rPr>
        <w:t xml:space="preserve"> atinge AUC interna de ~0,885 — mas por </w:t>
      </w:r>
      <w:r>
        <w:rPr>
          <w:rFonts w:ascii="Arial" w:hAnsi="Arial"/>
          <w:b/>
        </w:rPr>
        <w:t>memorização</w:t>
      </w:r>
      <w:r>
        <w:rPr>
          <w:rFonts w:ascii="Arial" w:hAnsi="Arial"/>
        </w:rPr>
        <w:t xml:space="preserve">: como muitas posições aparecem com o mesmo rótulo no treino e no teste em validações ingênuas, o modelo "decora" posições em vez de aprender biologia. Sem a posição, a identidade gene+aa_ref+aa_alt cai para 0,783, e o gene isolado para 0,640. Este é um alerta metodológico central: </w:t>
      </w:r>
      <w:r>
        <w:rPr>
          <w:rFonts w:ascii="Arial" w:hAnsi="Arial"/>
          <w:b/>
        </w:rPr>
        <w:t>benchmarks internos que não bloqueiam a posição superestimam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independentes.</w:t>
      </w:r>
    </w:p>
    <w:p>
      <w:pPr>
        <w:jc w:val="both"/>
      </w:pPr>
      <w:r>
        <w:rPr>
          <w:rFonts w:ascii="Arial" w:hAnsi="Arial"/>
        </w:rPr>
        <w:t xml:space="preserve">Sanidade biológica: a taxa de patogenicidade dentro de domínios críticos é de </w:t>
      </w:r>
      <w:r>
        <w:rPr>
          <w:rFonts w:ascii="Arial" w:hAnsi="Arial"/>
          <w:b/>
        </w:rPr>
        <w:t>45%</w:t>
      </w:r>
      <w:r>
        <w:rPr>
          <w:rFonts w:ascii="Arial" w:hAnsi="Arial"/>
        </w:rPr>
        <w:t xml:space="preserve">, contra </w:t>
      </w:r>
      <w:r>
        <w:rPr>
          <w:rFonts w:ascii="Arial" w:hAnsi="Arial"/>
          <w:b/>
        </w:rPr>
        <w:t>9%</w:t>
      </w:r>
      <w:r>
        <w:rPr>
          <w:rFonts w:ascii="Arial" w:hAnsi="Arial"/>
        </w:rPr>
        <w:t xml:space="preserve"> fora deles — coerente com o papel funcional dessas regiões.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4 e 5 ilustram a base biológica desse resultado. A Figura 4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5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domínio-consciente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6.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7).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8).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domínio-consciente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9), indicando probabilidades bem calibradas — propriedade importante para uso como apoio à decisão, e não apenas ordenação.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9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Curva de calibração (confiabilidade) e escore de Brier do modelo domínio-consciente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07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10.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11,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domínio-consciente).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17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11.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 xml:space="preserve">) estão versionados e cobertos por testes automatizados. O código-fonte completo, os testes, os scripts de análise e as figuras estão disponíveis no repositório público do projeto: </w:t>
      </w:r>
      <w:r>
        <w:rPr>
          <w:rFonts w:ascii="Arial" w:hAnsi="Arial"/>
          <w:b/>
        </w:rPr>
        <w:t>https://github.com/WesleyCapucho/primevarclass</w:t>
      </w:r>
      <w:r>
        <w:rPr>
          <w:rFonts w:ascii="Arial" w:hAnsi="Arial"/>
        </w:rPr>
        <w:t>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Mecanismo BRCA1/BRCA2 no reparo do DNA e o câncer hereditário de mama e ovário (HBOC).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Consequência estrutural de variantes patogênicas (sítio de zinco do RING; mutante BRCT M1775R).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10.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11.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 xml:space="preserve">Fontes primárias recuperadas via PubMed/NLM. Abaixo, as referências fundacionais citadas no texto em formato ABNT; a lista completa e curada de </w:t>
      </w:r>
      <w:r>
        <w:rPr>
          <w:rFonts w:ascii="Arial" w:hAnsi="Arial"/>
          <w:i/>
        </w:rPr>
        <w:t>52 fontes primárias</w:t>
      </w:r>
      <w:r>
        <w:rPr>
          <w:rFonts w:ascii="Arial" w:hAnsi="Arial"/>
          <w:i/>
        </w:rPr>
        <w:t xml:space="preserve"> está em [`referencias_abnt.md`](referencias_abnt.md), com DOIs.</w:t>
      </w:r>
    </w:p>
    <w:p>
      <w:pPr>
        <w:jc w:val="both"/>
      </w:pPr>
      <w:r>
        <w:rPr>
          <w:rFonts w:ascii="Arial" w:hAnsi="Arial"/>
          <w:b/>
        </w:rPr>
        <w:t>Diretrizes e recursos de classificação</w:t>
      </w:r>
    </w:p>
    <w:p>
      <w:pPr>
        <w:jc w:val="both"/>
      </w:pPr>
      <w:r>
        <w:rPr>
          <w:rFonts w:ascii="Arial" w:hAnsi="Arial"/>
        </w:rPr>
        <w:t xml:space="preserve">1. RICHARDS, S. et al. Standards and guidelines for the interpretation of sequence variants: a joint consensus recommendation of the ACMG and AMP.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3. PARSONS, M. T. et al. Large scale multifactorial likelihood quantitative analysis of BRCA1 and BRCA2 variants: an ENIGMA resource.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  <w:b/>
        </w:rPr>
        <w:t>Preditores in silico e bancos de dados</w:t>
      </w:r>
    </w:p>
    <w:p>
      <w:pPr>
        <w:jc w:val="both"/>
      </w:pPr>
      <w:r>
        <w:rPr>
          <w:rFonts w:ascii="Arial" w:hAnsi="Arial"/>
        </w:rPr>
        <w:t xml:space="preserve">5.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6.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7.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8.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9.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  <w:b/>
        </w:rPr>
        <w:t>Domínios funcionais, restrição e ensaios</w:t>
      </w:r>
    </w:p>
    <w:p>
      <w:pPr>
        <w:jc w:val="both"/>
      </w:pPr>
      <w:r>
        <w:rPr>
          <w:rFonts w:ascii="Arial" w:hAnsi="Arial"/>
        </w:rPr>
        <w:t xml:space="preserve">10.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p>
      <w:pPr>
        <w:jc w:val="both"/>
      </w:pPr>
      <w:r>
        <w:rPr>
          <w:rFonts w:ascii="Arial" w:hAnsi="Arial"/>
        </w:rPr>
        <w:t xml:space="preserve">11.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12. TOLAND, A. E.; ANDREASSEN, P. R. DNA repair-related functional assays for the classification of BRCA1 and BRCA2 variants: a critical review.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13.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  <w:b/>
        </w:rPr>
        <w:t>Aprendizado de máquina, generalização e contexto nacional</w:t>
      </w:r>
    </w:p>
    <w:p>
      <w:pPr>
        <w:jc w:val="both"/>
      </w:pPr>
      <w:r>
        <w:rPr>
          <w:rFonts w:ascii="Arial" w:hAnsi="Arial"/>
        </w:rPr>
        <w:t xml:space="preserve">14.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15.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  <w:b/>
        </w:rPr>
        <w:t>Base metodológica e recursos técnicos</w:t>
      </w:r>
    </w:p>
    <w:p>
      <w:pPr>
        <w:jc w:val="both"/>
      </w:pPr>
      <w:r>
        <w:rPr>
          <w:rFonts w:ascii="Arial" w:hAnsi="Arial"/>
        </w:rPr>
        <w:t xml:space="preserve">16.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17.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18.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19.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20. THE UNIPROT CONSORTIUM.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