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0" w:after="360"/>
        <w:ind w:firstLine="0"/>
        <w:jc w:val="center"/>
      </w:pPr>
      <w:r>
        <w:rPr>
          <w:rFonts w:ascii="Arial" w:hAnsi="Arial"/>
          <w:b/>
          <w:i w:val="0"/>
          <w:sz w:val="30"/>
        </w:rPr>
        <w:t>PrimeVarClass: da hipótese dos números primos a um classificador de variantes BRCA1/BRCA2 consciente de domínio, validado externamente e complementar ao estado da arte</w:t>
      </w:r>
    </w:p>
    <w:p>
      <w:pPr>
        <w:spacing w:before="0" w:after="80"/>
        <w:ind w:firstLine="0"/>
        <w:jc w:val="center"/>
      </w:pPr>
      <w:r>
        <w:rPr>
          <w:rFonts w:ascii="Arial" w:hAnsi="Arial"/>
          <w:b w:val="0"/>
          <w:i/>
          <w:sz w:val="24"/>
        </w:rPr>
        <w:t>32º Prêmio Jovem Cientista — Categoria Estudante do Ensino Superior</w:t>
      </w:r>
    </w:p>
    <w:p>
      <w:pPr>
        <w:spacing w:before="0" w:after="360"/>
        <w:ind w:firstLine="0"/>
        <w:jc w:val="center"/>
      </w:pPr>
      <w:r>
        <w:rPr>
          <w:rFonts w:ascii="Arial" w:hAnsi="Arial"/>
          <w:b w:val="0"/>
          <w:i/>
          <w:sz w:val="24"/>
        </w:rPr>
        <w:t>Tema: Inteligência Artificial para o Bem Comum — Subtema: Inteligência Artificial &amp; Saúde (item 1.4.1.b do Edital)</w:t>
      </w:r>
    </w:p>
    <w:p>
      <w:pPr>
        <w:ind w:firstLine="0"/>
      </w:pPr>
      <w:r>
        <w:rPr>
          <w:rFonts w:ascii="Arial" w:hAnsi="Arial"/>
          <w:b/>
          <w:sz w:val="24"/>
        </w:rPr>
        <w:t xml:space="preserve">Autor: </w:t>
      </w:r>
      <w:r>
        <w:rPr>
          <w:rFonts w:ascii="Arial" w:hAnsi="Arial"/>
          <w:sz w:val="24"/>
        </w:rPr>
        <w:t>Wesley Felipe Capucho — graduando em Engenharia Bioquímica</w:t>
      </w:r>
    </w:p>
    <w:p>
      <w:pPr>
        <w:ind w:firstLine="0"/>
      </w:pPr>
      <w:r>
        <w:rPr>
          <w:rFonts w:ascii="Arial" w:hAnsi="Arial"/>
          <w:b/>
          <w:sz w:val="24"/>
        </w:rPr>
        <w:t xml:space="preserve">Orientador(a): </w:t>
      </w:r>
      <w:r>
        <w:rPr>
          <w:rFonts w:ascii="Arial" w:hAnsi="Arial"/>
          <w:sz w:val="24"/>
        </w:rPr>
        <w:t>⟨a definir⟩</w:t>
      </w:r>
    </w:p>
    <w:p>
      <w:pPr>
        <w:ind w:firstLine="0"/>
      </w:pPr>
      <w:r>
        <w:rPr>
          <w:rFonts w:ascii="Arial" w:hAnsi="Arial"/>
          <w:b/>
          <w:sz w:val="24"/>
        </w:rPr>
        <w:t xml:space="preserve">Instituição de vínculo: </w:t>
      </w:r>
      <w:r>
        <w:rPr>
          <w:rFonts w:ascii="Arial" w:hAnsi="Arial"/>
          <w:sz w:val="24"/>
        </w:rPr>
        <w:t>Escola de Engenharia de Lorena, Universidade de São Paulo (EEL-USP) — Estrada Municipal do Campinho, s/nº, Ponte Nova, Lorena – SP, CEP 12602-810. E-mail: wesleycapucho@usp.br. Telefone: ⟨a definir⟩.</w:t>
      </w:r>
    </w:p>
    <w:p>
      <w:pPr>
        <w:ind w:firstLine="0"/>
      </w:pPr>
      <w:r>
        <w:rPr>
          <w:rFonts w:ascii="Arial" w:hAnsi="Arial"/>
          <w:b/>
          <w:sz w:val="24"/>
        </w:rPr>
        <w:t xml:space="preserve">Instituição onde a pesquisa foi desenvolvida: </w:t>
      </w:r>
      <w:r>
        <w:rPr>
          <w:rFonts w:ascii="Arial" w:hAnsi="Arial"/>
          <w:sz w:val="24"/>
        </w:rPr>
        <w:t>Escola de Engenharia de Lorena, Universidade de São Paulo (EEL-USP), Lorena – SP, Brasil.</w:t>
      </w:r>
    </w:p>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r>
        <w:br w:type="page"/>
      </w:r>
    </w:p>
    <w:p>
      <w:pPr>
        <w:pStyle w:val="Heading1"/>
      </w:pPr>
      <w:r>
        <w:t>APRESENTAÇÃO</w:t>
      </w:r>
    </w:p>
    <w:p>
      <w:pPr>
        <w:pStyle w:val="Heading2"/>
      </w:pPr>
      <w:r>
        <w:t>Resumo</w:t>
      </w:r>
    </w:p>
    <w:p>
      <w:pPr>
        <w:spacing w:before="0" w:after="160"/>
        <w:ind w:firstLine="709"/>
      </w:pPr>
      <w:r>
        <w:rPr>
          <w:rFonts w:ascii="Arial" w:hAnsi="Arial"/>
          <w:b w:val="0"/>
          <w:i w:val="0"/>
          <w:sz w:val="24"/>
        </w:rPr>
        <w:t>Este trabalho partiu de uma hipótese pouco convencional: codificar aminoácidos pela estrutura dos números primos revelaria padrões de patogenicidade em variantes missense? O projeto foi nomeado PrimeVarClass a partir dessa aposta, e a hipótese foi testada com rigor — validação cruzada bloqueada por posição e generalização em coortes externas nunca vistas no treino. A hipótese foi refutada com transparência: a codificação por primos teve desempenho inferior ao de uma identidade trivial de aminoácidos (AUC externa 0,681 vs. 0,718; p = 0,045) e piorou um modelo bioquímico ao ser adicionada (0,791 → 0,765; p = 3,8 × 10⁻⁸). No processo, foi diagnosticada uma armadilha de vazamento posicional que infla benchmarks internos. A partir daí, construiu-se um classificador consciente de domínio funcional (RING/BRCT de BRCA1; domínio de ligação ao DNA de BRCA2), que generalizou para coortes externas com AUC de 0,847 — superando o modelo com posição bruta (0,791; p = 1,8 × 10⁻¹³). Combinado a um modelo de linguagem de proteínas (ESM-2), o modelo-carro-chefe atingiu AUC externa de 0,909, estatisticamente equivalente aos melhores preditores publicados — AlphaMissense (0,926; p = 0,24), REVEL (0,930; p = 0,14) e CADD (0,891; p = 0,37) —, ainda que avaliado sob desvantagem: esses preditores carregam circularidade com os próprios rótulos de teste, e o modelo proposto, não. Um meta-classificador integrando todos os sinais atingiu 0,938. Os escores foram calibrados em força de evidência ACMG/AMP e, entre variantes que o AlphaMissense deixa ambíguas (644 no total), o modelo forneceu chamada de evidência calibrada para 53,8% dos VUS e 64,6% das conflitantes (concordância de 100% no subconjunto verificável) — evidência de que o método complementa o AlphaMissense, em vez de competir com ele. O mecanismo estrutural foi validado contra dados funcionais reais de reparo por recombinação homóloga (Kruskal-Wallis p ≈ 3,5 × 10⁻³³); uma lacuna de equidade entre ancestralidades foi quantificada e parcialmente mitigada; e a validação prospectiva por corte temporal foi simulada (AUC de 0,892 em 2016 a 0,932 em 2021). Por fim, foi implementado um mecanismo real e seguro de aprendizado contínuo: o modelo melhora com rótulos confirmados pelo uso (AUC no conjunto travado subindo de 0,895 para 0,922) sob uma trava que rejeita atualizações que piorem o desempenho. Em validação genuinamente prospectiva, o modelo previu como a comunidade reclassificaria 56 VUS de 2023 (AUC 0,941), e nesse conjunto livre de vazamento superou AlphaMissense e REVEL; o método também generalizou para o TP53 (AUC até 0,912 em um gene novo). O sistema é entregue como plataforma aberta, auditável e reprodutível. A contribuição central não é um número inflado, mas um método honesto, generalizável e continuamente aprimorável para apoiar a interpretação responsável de variantes genéticas no Brasil.</w:t>
      </w:r>
    </w:p>
    <w:p>
      <w:pPr>
        <w:ind w:firstLine="0"/>
      </w:pPr>
      <w:r>
        <w:rPr>
          <w:rFonts w:ascii="Arial" w:hAnsi="Arial"/>
          <w:b/>
          <w:sz w:val="24"/>
        </w:rPr>
        <w:t xml:space="preserve">Palavras-chave: </w:t>
      </w:r>
      <w:r>
        <w:rPr>
          <w:rFonts w:ascii="Arial" w:hAnsi="Arial"/>
          <w:sz w:val="24"/>
        </w:rPr>
        <w:t>classificação de variantes de significado incerto; BRCA1/BRCA2; validação externa; domínios funcionais de proteínas; inteligência artificial em saúde.</w:t>
      </w:r>
    </w:p>
    <w:p>
      <w:pPr>
        <w:pStyle w:val="Heading2"/>
      </w:pPr>
      <w:r>
        <w:t>Introdução</w:t>
      </w:r>
    </w:p>
    <w:p>
      <w:pPr>
        <w:pStyle w:val="Heading3"/>
      </w:pPr>
      <w:r>
        <w:t>O problema clínico e social</w:t>
      </w:r>
    </w:p>
    <w:p>
      <w:pPr>
        <w:spacing w:before="0" w:after="80"/>
        <w:ind w:firstLine="709"/>
      </w:pPr>
      <w:r>
        <w:rPr>
          <w:rFonts w:ascii="Arial" w:hAnsi="Arial"/>
          <w:b w:val="0"/>
          <w:i w:val="0"/>
          <w:sz w:val="24"/>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 penetrância cumulativa que pode ultrapassar 70% (Figura 1).</w:t>
      </w:r>
    </w:p>
    <w:p>
      <w:pPr>
        <w:spacing w:before="200"/>
        <w:ind w:firstLine="0"/>
        <w:jc w:val="center"/>
      </w:pPr>
      <w:r>
        <w:drawing>
          <wp:inline xmlns:a="http://schemas.openxmlformats.org/drawingml/2006/main" xmlns:pic="http://schemas.openxmlformats.org/drawingml/2006/picture">
            <wp:extent cx="4572000" cy="2607986"/>
            <wp:docPr id="1" name="Picture 1"/>
            <wp:cNvGraphicFramePr>
              <a:graphicFrameLocks noChangeAspect="1"/>
            </wp:cNvGraphicFramePr>
            <a:graphic>
              <a:graphicData uri="http://schemas.openxmlformats.org/drawingml/2006/picture">
                <pic:pic>
                  <pic:nvPicPr>
                    <pic:cNvPr id="0" name="fig_disease_mechanism.png"/>
                    <pic:cNvPicPr/>
                  </pic:nvPicPr>
                  <pic:blipFill>
                    <a:blip r:embed="rId9"/>
                    <a:stretch>
                      <a:fillRect/>
                    </a:stretch>
                  </pic:blipFill>
                  <pic:spPr>
                    <a:xfrm>
                      <a:off x="0" y="0"/>
                      <a:ext cx="4572000" cy="2607986"/>
                    </a:xfrm>
                    <a:prstGeom prst="rect"/>
                  </pic:spPr>
                </pic:pic>
              </a:graphicData>
            </a:graphic>
          </wp:inline>
        </w:drawing>
      </w:r>
    </w:p>
    <w:p>
      <w:pPr>
        <w:spacing w:after="240"/>
        <w:ind w:firstLine="0"/>
        <w:jc w:val="center"/>
      </w:pPr>
      <w:r>
        <w:rPr>
          <w:rFonts w:ascii="Arial" w:hAnsi="Arial"/>
          <w:i/>
          <w:sz w:val="20"/>
        </w:rPr>
        <w:t>Figura 1.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 deficiência explorada terapeuticamente por inibidores de PARP.</w:t>
      </w:r>
    </w:p>
    <w:p>
      <w:pPr>
        <w:spacing w:before="0" w:after="0"/>
        <w:ind w:firstLine="709"/>
      </w:pPr>
      <w:r>
        <w:rPr>
          <w:rFonts w:ascii="Arial" w:hAnsi="Arial"/>
          <w:b w:val="0"/>
          <w:i w:val="0"/>
          <w:sz w:val="24"/>
        </w:rPr>
        <w:t>Ainda assim, muitas variantes permanecem classificadas como de significado incerto (VUS) —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p>
    <w:p>
      <w:pPr>
        <w:pStyle w:val="Heading3"/>
      </w:pPr>
      <w:r>
        <w:t>A lacuna metodológica e o estado da arte</w:t>
      </w:r>
    </w:p>
    <w:p>
      <w:pPr>
        <w:spacing w:before="0" w:after="0"/>
        <w:ind w:firstLine="709"/>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GANAKAMMAL; ALEXOV, 2019; SUYBENG et al., 2020; SMOL et al., 2021; DONG et al., 2014; LABES et al., 2022),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 inclusive com escores informados por estrutura em BRCA1 (RAMADANE-MORCHADI et al., 2025), o que corrobora a abordagem consciente de domínio aqui desenvolvida. Existe, porém, uma assimetria raramente discutida: REVEL e CADD são treinados — e o AlphaMissense é calibrado —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CHAO et al., 2024; LAKE et al., 2024; TORRETTO et al., 2026).</w:t>
      </w:r>
    </w:p>
    <w:p>
      <w:pPr>
        <w:pStyle w:val="Heading3"/>
      </w:pPr>
      <w:r>
        <w:t>A jornada científica: por que "Prime"</w:t>
      </w:r>
    </w:p>
    <w:p>
      <w:pPr>
        <w:spacing w:before="0" w:after="0"/>
        <w:ind w:firstLine="709"/>
      </w:pPr>
      <w:r>
        <w:rPr>
          <w:rFonts w:ascii="Arial" w:hAnsi="Arial"/>
          <w:b w:val="0"/>
          <w:i w:val="0"/>
          <w:sz w:val="24"/>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 trajetória que, em si, é contribuição científica e o antídoto direto contra alegações infladas de inteligência artificial em saúde.</w:t>
      </w:r>
    </w:p>
    <w:p>
      <w:pPr>
        <w:pStyle w:val="Heading2"/>
      </w:pPr>
      <w:r>
        <w:t>Objetivos</w:t>
      </w:r>
    </w:p>
    <w:p>
      <w:pPr>
        <w:spacing w:before="0" w:after="0"/>
        <w:ind w:firstLine="709"/>
      </w:pPr>
      <w:r>
        <w:rPr>
          <w:rFonts w:ascii="Arial" w:hAnsi="Arial"/>
          <w:b w:val="0"/>
          <w:i w:val="0"/>
          <w:sz w:val="24"/>
        </w:rPr>
        <w:t>1. Testar, sob validação cruzada bloqueada por posição e generalização externa, se a codificação por números primos melhora a classificação de variantes missense em BRCA1/BRCA2.</w:t>
      </w:r>
    </w:p>
    <w:p>
      <w:pPr>
        <w:spacing w:before="0" w:after="0"/>
        <w:ind w:firstLine="709"/>
      </w:pPr>
      <w:r>
        <w:rPr>
          <w:rFonts w:ascii="Arial" w:hAnsi="Arial"/>
          <w:b w:val="0"/>
          <w:i w:val="0"/>
          <w:sz w:val="24"/>
        </w:rPr>
        <w:t>2. Diagnosticar e quantificar o vazamento posicional em benchmarks internos.</w:t>
      </w:r>
    </w:p>
    <w:p>
      <w:pPr>
        <w:spacing w:before="0" w:after="0"/>
        <w:ind w:firstLine="709"/>
      </w:pPr>
      <w:r>
        <w:rPr>
          <w:rFonts w:ascii="Arial" w:hAnsi="Arial"/>
          <w:b w:val="0"/>
          <w:i w:val="0"/>
          <w:sz w:val="24"/>
        </w:rPr>
        <w:t>3. Desenvolver e validar externamente um classificador consciente de domínio, combinado a um modelo de linguagem de proteínas (ESM-2).</w:t>
      </w:r>
    </w:p>
    <w:p>
      <w:pPr>
        <w:spacing w:before="0" w:after="0"/>
        <w:ind w:firstLine="709"/>
      </w:pPr>
      <w:r>
        <w:rPr>
          <w:rFonts w:ascii="Arial" w:hAnsi="Arial"/>
          <w:b w:val="0"/>
          <w:i w:val="0"/>
          <w:sz w:val="24"/>
        </w:rPr>
        <w:t>4. Comparar esse modelo, de forma honesta, com AlphaMissense/REVEL/CADD, corrigindo a assimetria de circularidade que os favorece.</w:t>
      </w:r>
    </w:p>
    <w:p>
      <w:pPr>
        <w:spacing w:before="0" w:after="0"/>
        <w:ind w:firstLine="709"/>
      </w:pPr>
      <w:r>
        <w:rPr>
          <w:rFonts w:ascii="Arial" w:hAnsi="Arial"/>
          <w:b w:val="0"/>
          <w:i w:val="0"/>
          <w:sz w:val="24"/>
        </w:rPr>
        <w:t>5. Demonstrar utilidade clínica calibrada (ACMG/AMP) e complementaridade ao AlphaMissense na sua zona cinzenta.</w:t>
      </w:r>
    </w:p>
    <w:p>
      <w:pPr>
        <w:spacing w:before="0" w:after="0"/>
        <w:ind w:firstLine="709"/>
      </w:pPr>
      <w:r>
        <w:rPr>
          <w:rFonts w:ascii="Arial" w:hAnsi="Arial"/>
          <w:b w:val="0"/>
          <w:i w:val="0"/>
          <w:sz w:val="24"/>
        </w:rPr>
        <w:t>6. Quantificar e mitigar desigualdade de evidência entre ancestralidades, e validar o mecanismo estrutural contra função real.</w:t>
      </w:r>
    </w:p>
    <w:p>
      <w:pPr>
        <w:spacing w:before="0" w:after="200"/>
        <w:ind w:firstLine="709"/>
      </w:pPr>
      <w:r>
        <w:rPr>
          <w:rFonts w:ascii="Arial" w:hAnsi="Arial"/>
          <w:b w:val="0"/>
          <w:i w:val="0"/>
          <w:sz w:val="24"/>
        </w:rPr>
        <w:t>7. Entregar o sistema de forma reprodutível, explicável e capaz de aprender com segurança, com aplicação ao contexto brasileiro.</w:t>
      </w:r>
    </w:p>
    <w:p>
      <w:r>
        <w:br w:type="page"/>
      </w:r>
    </w:p>
    <w:p>
      <w:pPr>
        <w:pStyle w:val="Heading1"/>
      </w:pPr>
      <w:r>
        <w:t>DESENVOLVIMENTO</w:t>
      </w:r>
    </w:p>
    <w:p>
      <w:pPr>
        <w:pStyle w:val="Heading2"/>
      </w:pPr>
      <w:r>
        <w:t>Materiais e Métodos</w:t>
      </w:r>
    </w:p>
    <w:p>
      <w:pPr>
        <w:pStyle w:val="Heading3"/>
      </w:pPr>
      <w:r>
        <w:t>Fontes de dados</w:t>
      </w:r>
    </w:p>
    <w:p>
      <w:pPr>
        <w:spacing w:before="0" w:after="0"/>
        <w:ind w:firstLine="709"/>
      </w:pPr>
      <w:r>
        <w:rPr>
          <w:rFonts w:ascii="Arial" w:hAnsi="Arial"/>
          <w:b w:val="0"/>
          <w:i w:val="0"/>
          <w:sz w:val="24"/>
        </w:rPr>
        <w:t>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p>
    <w:p>
      <w:pPr>
        <w:pStyle w:val="Heading3"/>
      </w:pPr>
      <w:r>
        <w:t>Representação, teste dos primos e domínio funcional</w:t>
      </w:r>
    </w:p>
    <w:p>
      <w:pPr>
        <w:spacing w:before="0" w:after="0"/>
        <w:ind w:firstLine="709"/>
      </w:pPr>
      <w:r>
        <w:rPr>
          <w:rFonts w:ascii="Arial" w:hAnsi="Arial"/>
          <w:b w:val="0"/>
          <w:i w:val="0"/>
          <w:sz w:val="24"/>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 identidade com posição (4), identidade sem posição (3), bioquímico com posição (28), híbrido bioquímico+primos (76) e apenas primos (50) —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 o que evita seleção circular de regiões. Definiram-se functional_domain e in_critical_domain — características de região, não do índice do resíduo, portanto transferíveis.</w:t>
      </w:r>
    </w:p>
    <w:p>
      <w:pPr>
        <w:pStyle w:val="Heading3"/>
      </w:pPr>
      <w:r>
        <w:t>Protocolo anti-vazamento e modelo</w:t>
      </w:r>
    </w:p>
    <w:p>
      <w:pPr>
        <w:spacing w:before="0" w:after="0"/>
        <w:ind w:firstLine="709"/>
      </w:pPr>
      <w:r>
        <w:rPr>
          <w:rFonts w:ascii="Arial" w:hAnsi="Arial"/>
          <w:b w:val="0"/>
          <w:i w:val="0"/>
          <w:sz w:val="24"/>
        </w:rPr>
        <w:t>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p>
    <w:p>
      <w:pPr>
        <w:pStyle w:val="Heading3"/>
      </w:pPr>
      <w:r>
        <w:t>Robustez, meta-análise, ESM-2 e SHAP</w:t>
      </w:r>
    </w:p>
    <w:p>
      <w:pPr>
        <w:spacing w:before="0" w:after="0"/>
        <w:ind w:firstLine="709"/>
      </w:pPr>
      <w:r>
        <w:rPr>
          <w:rFonts w:ascii="Arial" w:hAnsi="Arial"/>
          <w:b w:val="0"/>
          <w:i w:val="0"/>
          <w:sz w:val="24"/>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 0,905 vs. 0,909 —, resultado honesto de saturação que levou a manter o 650M como principal). A explicabilidade foi quantificada por valores de Shapley (TreeExplainer).</w:t>
      </w:r>
    </w:p>
    <w:p>
      <w:pPr>
        <w:pStyle w:val="Heading3"/>
      </w:pPr>
      <w:r>
        <w:t>Comparação honesta, meta-classificador e calibração ACMG/AMP</w:t>
      </w:r>
    </w:p>
    <w:p>
      <w:pPr>
        <w:spacing w:before="0" w:after="0"/>
        <w:ind w:firstLine="709"/>
      </w:pPr>
      <w:r>
        <w:rPr>
          <w:rFonts w:ascii="Arial" w:hAnsi="Arial"/>
          <w:b w:val="0"/>
          <w:i w:val="0"/>
          <w:sz w:val="24"/>
        </w:rPr>
        <w:t>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p>
    <w:p>
      <w:pPr>
        <w:pStyle w:val="Heading3"/>
      </w:pPr>
      <w:r>
        <w:t>Zona cinzenta, equidade, mecanismo e aprendizado contínuo</w:t>
      </w:r>
    </w:p>
    <w:p>
      <w:pPr>
        <w:spacing w:before="0" w:after="0"/>
        <w:ind w:firstLine="709"/>
      </w:pPr>
      <w:r>
        <w:rPr>
          <w:rFonts w:ascii="Arial" w:hAnsi="Arial"/>
          <w:b w:val="0"/>
          <w:i w:val="0"/>
          <w:sz w:val="24"/>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 testado com feedback real e, deliberadamente, com um lote envenenado (30% de rótulos invertidos), usável hoje por linha de comando (primevarclass feedback / update).</w:t>
      </w:r>
    </w:p>
    <w:p>
      <w:r>
        <w:br w:type="page"/>
      </w:r>
    </w:p>
    <w:p>
      <w:pPr>
        <w:pStyle w:val="Heading2"/>
      </w:pPr>
      <w:r>
        <w:t>Resultados e Discussão</w:t>
      </w:r>
    </w:p>
    <w:p>
      <w:pPr>
        <w:pStyle w:val="Heading3"/>
      </w:pPr>
      <w:r>
        <w:t>A hipótese dos números primos foi refutada</w:t>
      </w:r>
    </w:p>
    <w:p>
      <w:pPr>
        <w:spacing w:before="0" w:after="0"/>
        <w:ind w:firstLine="709"/>
      </w:pPr>
      <w:r>
        <w:rPr>
          <w:rFonts w:ascii="Arial" w:hAnsi="Arial"/>
          <w:b w:val="0"/>
          <w:i w:val="0"/>
          <w:sz w:val="24"/>
        </w:rPr>
        <w:t>A hipótese foi testada sob o protocolo anti-vazamento (Tabela 1). Os primos tiveram desempenho inferior à identidade trivial e pioraram um modelo bioquímico ao serem adicionados (Tabela 2).</w:t>
      </w:r>
    </w:p>
    <w:p>
      <w:pPr>
        <w:spacing w:before="200"/>
        <w:ind w:firstLine="0"/>
      </w:pPr>
      <w:r>
        <w:rPr>
          <w:rFonts w:ascii="Arial" w:hAnsi="Arial"/>
          <w:b/>
          <w:sz w:val="22"/>
        </w:rPr>
        <w:t>Tabela 1. Refutação da hipótese dos primos (n = 869 treino / n = 836 externo).</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3685"/>
            <w:tcBorders>
              <w:top w:val="single" w:sz="10" w:color="000000"/>
              <w:bottom w:val="single" w:sz="10" w:color="000000"/>
            </w:tcBorders>
          </w:tcPr>
          <w:p>
            <w:pPr>
              <w:ind w:firstLine="0"/>
              <w:jc w:val="center"/>
            </w:pPr>
            <w:r>
              <w:rPr>
                <w:rFonts w:ascii="Arial" w:hAnsi="Arial"/>
                <w:b/>
                <w:sz w:val="21"/>
              </w:rPr>
              <w:t>Conjunto de características</w:t>
            </w:r>
          </w:p>
        </w:tc>
        <w:tc>
          <w:tcPr>
            <w:tcW w:type="dxa" w:w="1417"/>
            <w:tcBorders>
              <w:top w:val="single" w:sz="10" w:color="000000"/>
              <w:bottom w:val="single" w:sz="10" w:color="000000"/>
            </w:tcBorders>
          </w:tcPr>
          <w:p>
            <w:pPr>
              <w:ind w:firstLine="0"/>
              <w:jc w:val="center"/>
            </w:pPr>
            <w:r>
              <w:rPr>
                <w:rFonts w:ascii="Arial" w:hAnsi="Arial"/>
                <w:b/>
                <w:sz w:val="21"/>
              </w:rPr>
              <w:t>nº feat.</w:t>
            </w:r>
          </w:p>
        </w:tc>
        <w:tc>
          <w:tcPr>
            <w:tcW w:type="dxa" w:w="1701"/>
            <w:tcBorders>
              <w:top w:val="single" w:sz="10" w:color="000000"/>
              <w:bottom w:val="single" w:sz="10" w:color="000000"/>
            </w:tcBorders>
          </w:tcPr>
          <w:p>
            <w:pPr>
              <w:ind w:firstLine="0"/>
              <w:jc w:val="center"/>
            </w:pPr>
            <w:r>
              <w:rPr>
                <w:rFonts w:ascii="Arial" w:hAnsi="Arial"/>
                <w:b/>
                <w:sz w:val="21"/>
              </w:rPr>
              <w:t>CV bloqueada</w:t>
            </w:r>
          </w:p>
        </w:tc>
        <w:tc>
          <w:tcPr>
            <w:tcW w:type="dxa" w:w="170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685"/>
          </w:tcPr>
          <w:p>
            <w:pPr>
              <w:ind w:firstLine="0"/>
              <w:jc w:val="left"/>
            </w:pPr>
            <w:r>
              <w:rPr>
                <w:rFonts w:ascii="Arial" w:hAnsi="Arial"/>
                <w:sz w:val="21"/>
              </w:rPr>
              <w:t>Identidade (com posição)ᵃ</w:t>
            </w:r>
          </w:p>
        </w:tc>
        <w:tc>
          <w:tcPr>
            <w:tcW w:type="dxa" w:w="1417"/>
          </w:tcPr>
          <w:p>
            <w:pPr>
              <w:ind w:firstLine="0"/>
              <w:jc w:val="center"/>
            </w:pPr>
            <w:r>
              <w:rPr>
                <w:rFonts w:ascii="Arial" w:hAnsi="Arial"/>
                <w:sz w:val="21"/>
              </w:rPr>
              <w:t>4</w:t>
            </w:r>
          </w:p>
        </w:tc>
        <w:tc>
          <w:tcPr>
            <w:tcW w:type="dxa" w:w="1701"/>
          </w:tcPr>
          <w:p>
            <w:pPr>
              <w:ind w:firstLine="0"/>
              <w:jc w:val="center"/>
            </w:pPr>
            <w:r>
              <w:rPr>
                <w:rFonts w:ascii="Arial" w:hAnsi="Arial"/>
                <w:sz w:val="21"/>
              </w:rPr>
              <w:t>0,871</w:t>
            </w:r>
          </w:p>
        </w:tc>
        <w:tc>
          <w:tcPr>
            <w:tcW w:type="dxa" w:w="1701"/>
          </w:tcPr>
          <w:p>
            <w:pPr>
              <w:ind w:firstLine="0"/>
              <w:jc w:val="center"/>
            </w:pPr>
            <w:r>
              <w:rPr>
                <w:rFonts w:ascii="Arial" w:hAnsi="Arial"/>
                <w:sz w:val="21"/>
              </w:rPr>
              <w:t>0,882</w:t>
            </w:r>
          </w:p>
        </w:tc>
      </w:tr>
      <w:tr>
        <w:trPr>
          <w:cantSplit/>
        </w:trPr>
        <w:tc>
          <w:tcPr>
            <w:tcW w:type="dxa" w:w="3685"/>
          </w:tcPr>
          <w:p>
            <w:pPr>
              <w:ind w:firstLine="0"/>
              <w:jc w:val="left"/>
            </w:pPr>
            <w:r>
              <w:rPr>
                <w:rFonts w:ascii="Arial" w:hAnsi="Arial"/>
                <w:sz w:val="21"/>
              </w:rPr>
              <w:t>Bioquímico (com posição)ᵃ</w:t>
            </w:r>
          </w:p>
        </w:tc>
        <w:tc>
          <w:tcPr>
            <w:tcW w:type="dxa" w:w="1417"/>
          </w:tcPr>
          <w:p>
            <w:pPr>
              <w:ind w:firstLine="0"/>
              <w:jc w:val="center"/>
            </w:pPr>
            <w:r>
              <w:rPr>
                <w:rFonts w:ascii="Arial" w:hAnsi="Arial"/>
                <w:sz w:val="21"/>
              </w:rPr>
              <w:t>28</w:t>
            </w:r>
          </w:p>
        </w:tc>
        <w:tc>
          <w:tcPr>
            <w:tcW w:type="dxa" w:w="1701"/>
          </w:tcPr>
          <w:p>
            <w:pPr>
              <w:ind w:firstLine="0"/>
              <w:jc w:val="center"/>
            </w:pPr>
            <w:r>
              <w:rPr>
                <w:rFonts w:ascii="Arial" w:hAnsi="Arial"/>
                <w:sz w:val="21"/>
              </w:rPr>
              <w:t>0,802</w:t>
            </w:r>
          </w:p>
        </w:tc>
        <w:tc>
          <w:tcPr>
            <w:tcW w:type="dxa" w:w="1701"/>
          </w:tcPr>
          <w:p>
            <w:pPr>
              <w:ind w:firstLine="0"/>
              <w:jc w:val="center"/>
            </w:pPr>
            <w:r>
              <w:rPr>
                <w:rFonts w:ascii="Arial" w:hAnsi="Arial"/>
                <w:sz w:val="21"/>
              </w:rPr>
              <w:t>0,791</w:t>
            </w:r>
          </w:p>
        </w:tc>
      </w:tr>
      <w:tr>
        <w:trPr>
          <w:cantSplit/>
        </w:trPr>
        <w:tc>
          <w:tcPr>
            <w:tcW w:type="dxa" w:w="3685"/>
          </w:tcPr>
          <w:p>
            <w:pPr>
              <w:ind w:firstLine="0"/>
              <w:jc w:val="left"/>
            </w:pPr>
            <w:r>
              <w:rPr>
                <w:rFonts w:ascii="Arial" w:hAnsi="Arial"/>
                <w:sz w:val="21"/>
              </w:rPr>
              <w:t>Híbrido (bioquímico + primos)ᵃ</w:t>
            </w:r>
          </w:p>
        </w:tc>
        <w:tc>
          <w:tcPr>
            <w:tcW w:type="dxa" w:w="1417"/>
          </w:tcPr>
          <w:p>
            <w:pPr>
              <w:ind w:firstLine="0"/>
              <w:jc w:val="center"/>
            </w:pPr>
            <w:r>
              <w:rPr>
                <w:rFonts w:ascii="Arial" w:hAnsi="Arial"/>
                <w:sz w:val="21"/>
              </w:rPr>
              <w:t>76</w:t>
            </w:r>
          </w:p>
        </w:tc>
        <w:tc>
          <w:tcPr>
            <w:tcW w:type="dxa" w:w="1701"/>
          </w:tcPr>
          <w:p>
            <w:pPr>
              <w:ind w:firstLine="0"/>
              <w:jc w:val="center"/>
            </w:pPr>
            <w:r>
              <w:rPr>
                <w:rFonts w:ascii="Arial" w:hAnsi="Arial"/>
                <w:sz w:val="21"/>
              </w:rPr>
              <w:t>0,783</w:t>
            </w:r>
          </w:p>
        </w:tc>
        <w:tc>
          <w:tcPr>
            <w:tcW w:type="dxa" w:w="1701"/>
          </w:tcPr>
          <w:p>
            <w:pPr>
              <w:ind w:firstLine="0"/>
              <w:jc w:val="center"/>
            </w:pPr>
            <w:r>
              <w:rPr>
                <w:rFonts w:ascii="Arial" w:hAnsi="Arial"/>
                <w:sz w:val="21"/>
              </w:rPr>
              <w:t>0,765</w:t>
            </w:r>
          </w:p>
        </w:tc>
      </w:tr>
      <w:tr>
        <w:trPr>
          <w:cantSplit/>
        </w:trPr>
        <w:tc>
          <w:tcPr>
            <w:tcW w:type="dxa" w:w="3685"/>
          </w:tcPr>
          <w:p>
            <w:pPr>
              <w:ind w:firstLine="0"/>
              <w:jc w:val="left"/>
            </w:pPr>
            <w:r>
              <w:rPr>
                <w:rFonts w:ascii="Arial" w:hAnsi="Arial"/>
                <w:sz w:val="21"/>
              </w:rPr>
              <w:t>Identidade (sem posição)</w:t>
            </w:r>
          </w:p>
        </w:tc>
        <w:tc>
          <w:tcPr>
            <w:tcW w:type="dxa" w:w="1417"/>
          </w:tcPr>
          <w:p>
            <w:pPr>
              <w:ind w:firstLine="0"/>
              <w:jc w:val="center"/>
            </w:pPr>
            <w:r>
              <w:rPr>
                <w:rFonts w:ascii="Arial" w:hAnsi="Arial"/>
                <w:sz w:val="21"/>
              </w:rPr>
              <w:t>3</w:t>
            </w:r>
          </w:p>
        </w:tc>
        <w:tc>
          <w:tcPr>
            <w:tcW w:type="dxa" w:w="1701"/>
          </w:tcPr>
          <w:p>
            <w:pPr>
              <w:ind w:firstLine="0"/>
              <w:jc w:val="center"/>
            </w:pPr>
            <w:r>
              <w:rPr>
                <w:rFonts w:ascii="Arial" w:hAnsi="Arial"/>
                <w:sz w:val="21"/>
              </w:rPr>
              <w:t>0,745</w:t>
            </w:r>
          </w:p>
        </w:tc>
        <w:tc>
          <w:tcPr>
            <w:tcW w:type="dxa" w:w="1701"/>
          </w:tcPr>
          <w:p>
            <w:pPr>
              <w:ind w:firstLine="0"/>
              <w:jc w:val="center"/>
            </w:pPr>
            <w:r>
              <w:rPr>
                <w:rFonts w:ascii="Arial" w:hAnsi="Arial"/>
                <w:sz w:val="21"/>
              </w:rPr>
              <w:t>0,718</w:t>
            </w:r>
          </w:p>
        </w:tc>
      </w:tr>
      <w:tr>
        <w:trPr>
          <w:cantSplit/>
        </w:trPr>
        <w:tc>
          <w:tcPr>
            <w:tcW w:type="dxa" w:w="3685"/>
            <w:tcBorders>
              <w:bottom w:val="single" w:sz="10" w:color="000000"/>
            </w:tcBorders>
          </w:tcPr>
          <w:p>
            <w:pPr>
              <w:ind w:firstLine="0"/>
              <w:jc w:val="left"/>
            </w:pPr>
            <w:r>
              <w:rPr>
                <w:rFonts w:ascii="Arial" w:hAnsi="Arial"/>
                <w:sz w:val="21"/>
              </w:rPr>
              <w:t>Apenas primos</w:t>
            </w:r>
          </w:p>
        </w:tc>
        <w:tc>
          <w:tcPr>
            <w:tcW w:type="dxa" w:w="1417"/>
            <w:tcBorders>
              <w:bottom w:val="single" w:sz="10" w:color="000000"/>
            </w:tcBorders>
          </w:tcPr>
          <w:p>
            <w:pPr>
              <w:ind w:firstLine="0"/>
              <w:jc w:val="center"/>
            </w:pPr>
            <w:r>
              <w:rPr>
                <w:rFonts w:ascii="Arial" w:hAnsi="Arial"/>
                <w:sz w:val="21"/>
              </w:rPr>
              <w:t>50</w:t>
            </w:r>
          </w:p>
        </w:tc>
        <w:tc>
          <w:tcPr>
            <w:tcW w:type="dxa" w:w="1701"/>
            <w:tcBorders>
              <w:bottom w:val="single" w:sz="10" w:color="000000"/>
            </w:tcBorders>
          </w:tcPr>
          <w:p>
            <w:pPr>
              <w:ind w:firstLine="0"/>
              <w:jc w:val="center"/>
            </w:pPr>
            <w:r>
              <w:rPr>
                <w:rFonts w:ascii="Arial" w:hAnsi="Arial"/>
                <w:sz w:val="21"/>
              </w:rPr>
              <w:t>0,717</w:t>
            </w:r>
          </w:p>
        </w:tc>
        <w:tc>
          <w:tcPr>
            <w:tcW w:type="dxa" w:w="1701"/>
            <w:tcBorders>
              <w:bottom w:val="single" w:sz="10" w:color="000000"/>
            </w:tcBorders>
          </w:tcPr>
          <w:p>
            <w:pPr>
              <w:ind w:firstLine="0"/>
              <w:jc w:val="center"/>
            </w:pPr>
            <w:r>
              <w:rPr>
                <w:rFonts w:ascii="Arial" w:hAnsi="Arial"/>
                <w:sz w:val="21"/>
              </w:rPr>
              <w:t>0,681</w:t>
            </w:r>
          </w:p>
        </w:tc>
      </w:tr>
    </w:tbl>
    <w:p>
      <w:pPr>
        <w:spacing w:after="240"/>
        <w:ind w:firstLine="0"/>
      </w:pPr>
      <w:r>
        <w:rPr>
          <w:rFonts w:ascii="Arial" w:hAnsi="Arial"/>
          <w:i/>
          <w:sz w:val="19"/>
        </w:rPr>
        <w:t>ᵃ Incluem gene e posição bruta — risco de memorização diagnosticado a seguir.</w:t>
      </w:r>
    </w:p>
    <w:p>
      <w:pPr>
        <w:spacing w:before="200"/>
        <w:ind w:firstLine="0"/>
      </w:pPr>
      <w:r>
        <w:rPr>
          <w:rFonts w:ascii="Arial" w:hAnsi="Arial"/>
          <w:b/>
          <w:sz w:val="22"/>
        </w:rPr>
        <w:t>Tabela 2. Comparações pareadas por DeLong.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rPr>
        <w:tc>
          <w:tcPr>
            <w:tcW w:type="dxa" w:w="2608"/>
            <w:tcBorders>
              <w:top w:val="single" w:sz="10" w:color="000000"/>
              <w:bottom w:val="single" w:sz="10" w:color="000000"/>
            </w:tcBorders>
          </w:tcPr>
          <w:p>
            <w:pPr>
              <w:ind w:firstLine="0"/>
              <w:jc w:val="center"/>
            </w:pPr>
            <w:r>
              <w:rPr>
                <w:rFonts w:ascii="Arial" w:hAnsi="Arial"/>
                <w:b/>
                <w:sz w:val="21"/>
              </w:rPr>
              <w:t>Comparação</w:t>
            </w:r>
          </w:p>
        </w:tc>
        <w:tc>
          <w:tcPr>
            <w:tcW w:type="dxa" w:w="1417"/>
            <w:tcBorders>
              <w:top w:val="single" w:sz="10" w:color="000000"/>
              <w:bottom w:val="single" w:sz="10" w:color="000000"/>
            </w:tcBorders>
          </w:tcPr>
          <w:p>
            <w:pPr>
              <w:ind w:firstLine="0"/>
              <w:jc w:val="center"/>
            </w:pPr>
            <w:r>
              <w:rPr>
                <w:rFonts w:ascii="Arial" w:hAnsi="Arial"/>
                <w:b/>
                <w:sz w:val="21"/>
              </w:rPr>
              <w:t>Protocolo</w:t>
            </w:r>
          </w:p>
        </w:tc>
        <w:tc>
          <w:tcPr>
            <w:tcW w:type="dxa" w:w="1077"/>
            <w:tcBorders>
              <w:top w:val="single" w:sz="10" w:color="000000"/>
              <w:bottom w:val="single" w:sz="10" w:color="000000"/>
            </w:tcBorders>
          </w:tcPr>
          <w:p>
            <w:pPr>
              <w:ind w:firstLine="0"/>
              <w:jc w:val="center"/>
            </w:pPr>
            <w:r>
              <w:rPr>
                <w:rFonts w:ascii="Arial" w:hAnsi="Arial"/>
                <w:b/>
                <w:sz w:val="21"/>
              </w:rPr>
              <w:t>AUC A</w:t>
            </w:r>
          </w:p>
        </w:tc>
        <w:tc>
          <w:tcPr>
            <w:tcW w:type="dxa" w:w="1077"/>
            <w:tcBorders>
              <w:top w:val="single" w:sz="10" w:color="000000"/>
              <w:bottom w:val="single" w:sz="10" w:color="000000"/>
            </w:tcBorders>
          </w:tcPr>
          <w:p>
            <w:pPr>
              <w:ind w:firstLine="0"/>
              <w:jc w:val="center"/>
            </w:pPr>
            <w:r>
              <w:rPr>
                <w:rFonts w:ascii="Arial" w:hAnsi="Arial"/>
                <w:b/>
                <w:sz w:val="21"/>
              </w:rPr>
              <w:t>AUC B</w:t>
            </w:r>
          </w:p>
        </w:tc>
        <w:tc>
          <w:tcPr>
            <w:tcW w:type="dxa" w:w="1020"/>
            <w:tcBorders>
              <w:top w:val="single" w:sz="10" w:color="000000"/>
              <w:bottom w:val="single" w:sz="10" w:color="000000"/>
            </w:tcBorders>
          </w:tcPr>
          <w:p>
            <w:pPr>
              <w:ind w:firstLine="0"/>
              <w:jc w:val="center"/>
            </w:pPr>
            <w:r>
              <w:rPr>
                <w:rFonts w:ascii="Arial" w:hAnsi="Arial"/>
                <w:b/>
                <w:sz w:val="21"/>
              </w:rPr>
              <w:t>Δ</w:t>
            </w:r>
          </w:p>
        </w:tc>
        <w:tc>
          <w:tcPr>
            <w:tcW w:type="dxa" w:w="1304"/>
            <w:tcBorders>
              <w:top w:val="single" w:sz="10" w:color="000000"/>
              <w:bottom w:val="single" w:sz="10" w:color="000000"/>
            </w:tcBorders>
          </w:tcPr>
          <w:p>
            <w:pPr>
              <w:ind w:firstLine="0"/>
              <w:jc w:val="center"/>
            </w:pPr>
            <w:r>
              <w:rPr>
                <w:rFonts w:ascii="Arial" w:hAnsi="Arial"/>
                <w:b/>
                <w:sz w:val="21"/>
              </w:rPr>
              <w:t>p</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0,717</w:t>
            </w:r>
          </w:p>
        </w:tc>
        <w:tc>
          <w:tcPr>
            <w:tcW w:type="dxa" w:w="1077"/>
          </w:tcPr>
          <w:p>
            <w:pPr>
              <w:ind w:firstLine="0"/>
              <w:jc w:val="center"/>
            </w:pPr>
            <w:r>
              <w:rPr>
                <w:rFonts w:ascii="Arial" w:hAnsi="Arial"/>
                <w:sz w:val="21"/>
              </w:rPr>
              <w:t>0,745</w:t>
            </w:r>
          </w:p>
        </w:tc>
        <w:tc>
          <w:tcPr>
            <w:tcW w:type="dxa" w:w="1020"/>
          </w:tcPr>
          <w:p>
            <w:pPr>
              <w:ind w:firstLine="0"/>
              <w:jc w:val="center"/>
            </w:pPr>
            <w:r>
              <w:rPr>
                <w:rFonts w:ascii="Arial" w:hAnsi="Arial"/>
                <w:sz w:val="21"/>
              </w:rPr>
              <w:t>−0,028</w:t>
            </w:r>
          </w:p>
        </w:tc>
        <w:tc>
          <w:tcPr>
            <w:tcW w:type="dxa" w:w="1304"/>
          </w:tcPr>
          <w:p>
            <w:pPr>
              <w:ind w:firstLine="0"/>
              <w:jc w:val="center"/>
            </w:pPr>
            <w:r>
              <w:rPr>
                <w:rFonts w:ascii="Arial" w:hAnsi="Arial"/>
                <w:sz w:val="21"/>
              </w:rPr>
              <w:t>0,081</w:t>
            </w:r>
          </w:p>
        </w:tc>
      </w:tr>
      <w:tr>
        <w:trPr>
          <w:cantSplit/>
        </w:trPr>
        <w:tc>
          <w:tcPr>
            <w:tcW w:type="dxa" w:w="2608"/>
          </w:tcPr>
          <w:p>
            <w:pPr>
              <w:ind w:firstLine="0"/>
              <w:jc w:val="left"/>
            </w:pPr>
            <w:r>
              <w:rPr>
                <w:rFonts w:ascii="Arial" w:hAnsi="Arial"/>
                <w:sz w:val="21"/>
              </w:rPr>
              <w:t>Primos vs. identidade</w:t>
            </w:r>
          </w:p>
        </w:tc>
        <w:tc>
          <w:tcPr>
            <w:tcW w:type="dxa" w:w="1417"/>
          </w:tcPr>
          <w:p>
            <w:pPr>
              <w:ind w:firstLine="0"/>
              <w:jc w:val="center"/>
            </w:pPr>
            <w:r>
              <w:rPr>
                <w:rFonts w:ascii="Arial" w:hAnsi="Arial"/>
                <w:sz w:val="21"/>
              </w:rPr>
              <w:t>Externa</w:t>
            </w:r>
          </w:p>
        </w:tc>
        <w:tc>
          <w:tcPr>
            <w:tcW w:type="dxa" w:w="1077"/>
          </w:tcPr>
          <w:p>
            <w:pPr>
              <w:ind w:firstLine="0"/>
              <w:jc w:val="center"/>
            </w:pPr>
            <w:r>
              <w:rPr>
                <w:rFonts w:ascii="Arial" w:hAnsi="Arial"/>
                <w:sz w:val="21"/>
              </w:rPr>
              <w:t>0,681</w:t>
            </w:r>
          </w:p>
        </w:tc>
        <w:tc>
          <w:tcPr>
            <w:tcW w:type="dxa" w:w="1077"/>
          </w:tcPr>
          <w:p>
            <w:pPr>
              <w:ind w:firstLine="0"/>
              <w:jc w:val="center"/>
            </w:pPr>
            <w:r>
              <w:rPr>
                <w:rFonts w:ascii="Arial" w:hAnsi="Arial"/>
                <w:sz w:val="21"/>
              </w:rPr>
              <w:t>0,718</w:t>
            </w:r>
          </w:p>
        </w:tc>
        <w:tc>
          <w:tcPr>
            <w:tcW w:type="dxa" w:w="1020"/>
          </w:tcPr>
          <w:p>
            <w:pPr>
              <w:ind w:firstLine="0"/>
              <w:jc w:val="center"/>
            </w:pPr>
            <w:r>
              <w:rPr>
                <w:rFonts w:ascii="Arial" w:hAnsi="Arial"/>
                <w:sz w:val="21"/>
              </w:rPr>
              <w:t>−0,038</w:t>
            </w:r>
          </w:p>
        </w:tc>
        <w:tc>
          <w:tcPr>
            <w:tcW w:type="dxa" w:w="1304"/>
          </w:tcPr>
          <w:p>
            <w:pPr>
              <w:ind w:firstLine="0"/>
              <w:jc w:val="center"/>
            </w:pPr>
            <w:r>
              <w:rPr>
                <w:rFonts w:ascii="Arial" w:hAnsi="Arial"/>
                <w:sz w:val="21"/>
              </w:rPr>
              <w:t>0,045</w:t>
            </w:r>
          </w:p>
        </w:tc>
      </w:tr>
      <w:tr>
        <w:trPr>
          <w:cantSplit/>
        </w:trPr>
        <w:tc>
          <w:tcPr>
            <w:tcW w:type="dxa" w:w="2608"/>
          </w:tcPr>
          <w:p>
            <w:pPr>
              <w:ind w:firstLine="0"/>
              <w:jc w:val="left"/>
            </w:pPr>
            <w:r>
              <w:rPr>
                <w:rFonts w:ascii="Arial" w:hAnsi="Arial"/>
                <w:sz w:val="21"/>
              </w:rPr>
              <w:t>Híbrido vs. bioquímico</w:t>
            </w:r>
          </w:p>
        </w:tc>
        <w:tc>
          <w:tcPr>
            <w:tcW w:type="dxa" w:w="1417"/>
          </w:tcPr>
          <w:p>
            <w:pPr>
              <w:ind w:firstLine="0"/>
              <w:jc w:val="center"/>
            </w:pPr>
            <w:r>
              <w:rPr>
                <w:rFonts w:ascii="Arial" w:hAnsi="Arial"/>
                <w:sz w:val="21"/>
              </w:rPr>
              <w:t>Bloqueada</w:t>
            </w:r>
          </w:p>
        </w:tc>
        <w:tc>
          <w:tcPr>
            <w:tcW w:type="dxa" w:w="1077"/>
          </w:tcPr>
          <w:p>
            <w:pPr>
              <w:ind w:firstLine="0"/>
              <w:jc w:val="center"/>
            </w:pPr>
            <w:r>
              <w:rPr>
                <w:rFonts w:ascii="Arial" w:hAnsi="Arial"/>
                <w:sz w:val="21"/>
              </w:rPr>
              <w:t>0,783</w:t>
            </w:r>
          </w:p>
        </w:tc>
        <w:tc>
          <w:tcPr>
            <w:tcW w:type="dxa" w:w="1077"/>
          </w:tcPr>
          <w:p>
            <w:pPr>
              <w:ind w:firstLine="0"/>
              <w:jc w:val="center"/>
            </w:pPr>
            <w:r>
              <w:rPr>
                <w:rFonts w:ascii="Arial" w:hAnsi="Arial"/>
                <w:sz w:val="21"/>
              </w:rPr>
              <w:t>0,802</w:t>
            </w:r>
          </w:p>
        </w:tc>
        <w:tc>
          <w:tcPr>
            <w:tcW w:type="dxa" w:w="1020"/>
          </w:tcPr>
          <w:p>
            <w:pPr>
              <w:ind w:firstLine="0"/>
              <w:jc w:val="center"/>
            </w:pPr>
            <w:r>
              <w:rPr>
                <w:rFonts w:ascii="Arial" w:hAnsi="Arial"/>
                <w:sz w:val="21"/>
              </w:rPr>
              <w:t>−0,019</w:t>
            </w:r>
          </w:p>
        </w:tc>
        <w:tc>
          <w:tcPr>
            <w:tcW w:type="dxa" w:w="1304"/>
          </w:tcPr>
          <w:p>
            <w:pPr>
              <w:ind w:firstLine="0"/>
              <w:jc w:val="center"/>
            </w:pPr>
            <w:r>
              <w:rPr>
                <w:rFonts w:ascii="Arial" w:hAnsi="Arial"/>
                <w:sz w:val="21"/>
              </w:rPr>
              <w:t>&lt;0,0001</w:t>
            </w:r>
          </w:p>
        </w:tc>
      </w:tr>
      <w:tr>
        <w:trPr>
          <w:cantSplit/>
        </w:trPr>
        <w:tc>
          <w:tcPr>
            <w:tcW w:type="dxa" w:w="2608"/>
            <w:tcBorders>
              <w:bottom w:val="single" w:sz="10" w:color="000000"/>
            </w:tcBorders>
          </w:tcPr>
          <w:p>
            <w:pPr>
              <w:ind w:firstLine="0"/>
              <w:jc w:val="left"/>
            </w:pPr>
            <w:r>
              <w:rPr>
                <w:rFonts w:ascii="Arial" w:hAnsi="Arial"/>
                <w:sz w:val="21"/>
              </w:rPr>
              <w:t>Híbrido vs. bioquímico</w:t>
            </w:r>
          </w:p>
        </w:tc>
        <w:tc>
          <w:tcPr>
            <w:tcW w:type="dxa" w:w="1417"/>
            <w:tcBorders>
              <w:bottom w:val="single" w:sz="10" w:color="000000"/>
            </w:tcBorders>
          </w:tcPr>
          <w:p>
            <w:pPr>
              <w:ind w:firstLine="0"/>
              <w:jc w:val="center"/>
            </w:pPr>
            <w:r>
              <w:rPr>
                <w:rFonts w:ascii="Arial" w:hAnsi="Arial"/>
                <w:sz w:val="21"/>
              </w:rPr>
              <w:t>Externa</w:t>
            </w:r>
          </w:p>
        </w:tc>
        <w:tc>
          <w:tcPr>
            <w:tcW w:type="dxa" w:w="1077"/>
            <w:tcBorders>
              <w:bottom w:val="single" w:sz="10" w:color="000000"/>
            </w:tcBorders>
          </w:tcPr>
          <w:p>
            <w:pPr>
              <w:ind w:firstLine="0"/>
              <w:jc w:val="center"/>
            </w:pPr>
            <w:r>
              <w:rPr>
                <w:rFonts w:ascii="Arial" w:hAnsi="Arial"/>
                <w:sz w:val="21"/>
              </w:rPr>
              <w:t>0,765</w:t>
            </w:r>
          </w:p>
        </w:tc>
        <w:tc>
          <w:tcPr>
            <w:tcW w:type="dxa" w:w="1077"/>
            <w:tcBorders>
              <w:bottom w:val="single" w:sz="10" w:color="000000"/>
            </w:tcBorders>
          </w:tcPr>
          <w:p>
            <w:pPr>
              <w:ind w:firstLine="0"/>
              <w:jc w:val="center"/>
            </w:pPr>
            <w:r>
              <w:rPr>
                <w:rFonts w:ascii="Arial" w:hAnsi="Arial"/>
                <w:sz w:val="21"/>
              </w:rPr>
              <w:t>0,791</w:t>
            </w:r>
          </w:p>
        </w:tc>
        <w:tc>
          <w:tcPr>
            <w:tcW w:type="dxa" w:w="1020"/>
            <w:tcBorders>
              <w:bottom w:val="single" w:sz="10" w:color="000000"/>
            </w:tcBorders>
          </w:tcPr>
          <w:p>
            <w:pPr>
              <w:ind w:firstLine="0"/>
              <w:jc w:val="center"/>
            </w:pPr>
            <w:r>
              <w:rPr>
                <w:rFonts w:ascii="Arial" w:hAnsi="Arial"/>
                <w:sz w:val="21"/>
              </w:rPr>
              <w:t>−0,027</w:t>
            </w:r>
          </w:p>
        </w:tc>
        <w:tc>
          <w:tcPr>
            <w:tcW w:type="dxa" w:w="1304"/>
            <w:tcBorders>
              <w:bottom w:val="single" w:sz="10" w:color="000000"/>
            </w:tcBorders>
          </w:tcPr>
          <w:p>
            <w:pPr>
              <w:ind w:firstLine="0"/>
              <w:jc w:val="center"/>
            </w:pPr>
            <w:r>
              <w:rPr>
                <w:rFonts w:ascii="Arial" w:hAnsi="Arial"/>
                <w:sz w:val="21"/>
              </w:rPr>
              <w:t>&lt;0,0001</w:t>
            </w:r>
          </w:p>
        </w:tc>
      </w:tr>
    </w:tbl>
    <w:p>
      <w:pPr>
        <w:spacing w:before="0" w:after="0"/>
        <w:ind w:firstLine="709"/>
      </w:pPr>
      <w:r>
        <w:rPr>
          <w:rFonts w:ascii="Arial" w:hAnsi="Arial"/>
          <w:b w:val="0"/>
          <w:i w:val="0"/>
          <w:sz w:val="24"/>
        </w:rPr>
        <w:t>A diferença é uma tendência não significativa na CV interna (p = 0,081), mas significativa na generalização externa (p = 0,045) — e adicionar primos a um modelo bioquímico piora o desempenho externo (p &lt; 0,0001). A conclusão é honesta: os primos não agregam sinal útil.</w:t>
      </w:r>
    </w:p>
    <w:p>
      <w:pPr>
        <w:pStyle w:val="Heading3"/>
      </w:pPr>
      <w:r>
        <w:t>Diagnóstico: a armadilha do vazamento posicional</w:t>
      </w:r>
    </w:p>
    <w:p>
      <w:pPr>
        <w:spacing w:before="0" w:after="0"/>
        <w:ind w:firstLine="709"/>
      </w:pPr>
      <w:r>
        <w:rPr>
          <w:rFonts w:ascii="Arial" w:hAnsi="Arial"/>
          <w:b w:val="0"/>
          <w:i w:val="0"/>
          <w:sz w:val="24"/>
        </w:rPr>
        <w:t>Sob validação ingênua (sem bloqueio por grupo), a identidade combinada à posição bruta chega a AUC próxima de 0,90 — valor inflado, pois variantes da mesma posição compartilham rótulo e aparecem em treino e teste simultaneamente. Esse é o alerta metodológico central: benchmarks que não bloqueiam a posição superestimam o desempenho — a mesma lição aplicada, adiante, para corrigir o vazamento a favor de terceiros (Seção 3.7).</w:t>
      </w:r>
    </w:p>
    <w:p>
      <w:pPr>
        <w:pStyle w:val="Heading3"/>
      </w:pPr>
      <w:r>
        <w:t>A solução: modelo consciente de domínio</w:t>
      </w:r>
    </w:p>
    <w:p>
      <w:pPr>
        <w:spacing w:before="0" w:after="0"/>
        <w:ind w:firstLine="709"/>
      </w:pPr>
      <w:r>
        <w:rPr>
          <w:rFonts w:ascii="Arial" w:hAnsi="Arial"/>
          <w:b w:val="0"/>
          <w:i w:val="0"/>
          <w:sz w:val="24"/>
        </w:rPr>
        <w:t>Com a substituição da posição bruta por região funcional, obteve-se um modelo que generaliza melhor externamente (Tabela 3; Figura 2).</w:t>
      </w:r>
    </w:p>
    <w:p>
      <w:pPr>
        <w:spacing w:before="200"/>
        <w:ind w:firstLine="0"/>
      </w:pPr>
      <w:r>
        <w:rPr>
          <w:rFonts w:ascii="Arial" w:hAnsi="Arial"/>
          <w:b/>
          <w:sz w:val="22"/>
        </w:rPr>
        <w:t>Tabela 3. Consciência de domínio: validação bloqueada e externa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4535"/>
            <w:tcBorders>
              <w:top w:val="single" w:sz="10" w:color="000000"/>
              <w:bottom w:val="single" w:sz="10" w:color="000000"/>
            </w:tcBorders>
          </w:tcPr>
          <w:p>
            <w:pPr>
              <w:ind w:firstLine="0"/>
              <w:jc w:val="center"/>
            </w:pPr>
            <w:r>
              <w:rPr>
                <w:rFonts w:ascii="Arial" w:hAnsi="Arial"/>
                <w:b/>
                <w:sz w:val="21"/>
              </w:rPr>
              <w:t>Modelo</w:t>
            </w:r>
          </w:p>
        </w:tc>
        <w:tc>
          <w:tcPr>
            <w:tcW w:type="dxa" w:w="2098"/>
            <w:tcBorders>
              <w:top w:val="single" w:sz="10" w:color="000000"/>
              <w:bottom w:val="single" w:sz="10" w:color="000000"/>
            </w:tcBorders>
          </w:tcPr>
          <w:p>
            <w:pPr>
              <w:ind w:firstLine="0"/>
              <w:jc w:val="center"/>
            </w:pPr>
            <w:r>
              <w:rPr>
                <w:rFonts w:ascii="Arial" w:hAnsi="Arial"/>
                <w:b/>
                <w:sz w:val="21"/>
              </w:rPr>
              <w:t>CV bloqueada</w:t>
            </w:r>
          </w:p>
        </w:tc>
        <w:tc>
          <w:tcPr>
            <w:tcW w:type="dxa" w:w="1871"/>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4535"/>
          </w:tcPr>
          <w:p>
            <w:pPr>
              <w:ind w:firstLine="0"/>
              <w:jc w:val="left"/>
            </w:pPr>
            <w:r>
              <w:rPr>
                <w:rFonts w:ascii="Arial" w:hAnsi="Arial"/>
                <w:sz w:val="21"/>
              </w:rPr>
              <w:t>Bioquímico (sem posição)</w:t>
            </w:r>
          </w:p>
        </w:tc>
        <w:tc>
          <w:tcPr>
            <w:tcW w:type="dxa" w:w="2098"/>
          </w:tcPr>
          <w:p>
            <w:pPr>
              <w:ind w:firstLine="0"/>
              <w:jc w:val="center"/>
            </w:pPr>
            <w:r>
              <w:rPr>
                <w:rFonts w:ascii="Arial" w:hAnsi="Arial"/>
                <w:sz w:val="21"/>
              </w:rPr>
              <w:t>0,743</w:t>
            </w:r>
          </w:p>
        </w:tc>
        <w:tc>
          <w:tcPr>
            <w:tcW w:type="dxa" w:w="1871"/>
          </w:tcPr>
          <w:p>
            <w:pPr>
              <w:ind w:firstLine="0"/>
              <w:jc w:val="center"/>
            </w:pPr>
            <w:r>
              <w:rPr>
                <w:rFonts w:ascii="Arial" w:hAnsi="Arial"/>
                <w:sz w:val="21"/>
              </w:rPr>
              <w:t>0,717</w:t>
            </w:r>
          </w:p>
        </w:tc>
      </w:tr>
      <w:tr>
        <w:trPr>
          <w:cantSplit/>
        </w:trPr>
        <w:tc>
          <w:tcPr>
            <w:tcW w:type="dxa" w:w="4535"/>
          </w:tcPr>
          <w:p>
            <w:pPr>
              <w:ind w:firstLine="0"/>
              <w:jc w:val="left"/>
            </w:pPr>
            <w:r>
              <w:rPr>
                <w:rFonts w:ascii="Arial" w:hAnsi="Arial"/>
                <w:sz w:val="21"/>
              </w:rPr>
              <w:t>Bioquímico + domínio (proposto)</w:t>
            </w:r>
          </w:p>
        </w:tc>
        <w:tc>
          <w:tcPr>
            <w:tcW w:type="dxa" w:w="2098"/>
          </w:tcPr>
          <w:p>
            <w:pPr>
              <w:ind w:firstLine="0"/>
              <w:jc w:val="center"/>
            </w:pPr>
            <w:r>
              <w:rPr>
                <w:rFonts w:ascii="Arial" w:hAnsi="Arial"/>
                <w:sz w:val="21"/>
              </w:rPr>
              <w:t>0,818</w:t>
            </w:r>
          </w:p>
        </w:tc>
        <w:tc>
          <w:tcPr>
            <w:tcW w:type="dxa" w:w="1871"/>
          </w:tcPr>
          <w:p>
            <w:pPr>
              <w:ind w:firstLine="0"/>
              <w:jc w:val="center"/>
            </w:pPr>
            <w:r>
              <w:rPr>
                <w:rFonts w:ascii="Arial" w:hAnsi="Arial"/>
                <w:sz w:val="21"/>
              </w:rPr>
              <w:t>0,847</w:t>
            </w:r>
          </w:p>
        </w:tc>
      </w:tr>
      <w:tr>
        <w:trPr>
          <w:cantSplit/>
        </w:trPr>
        <w:tc>
          <w:tcPr>
            <w:tcW w:type="dxa" w:w="4535"/>
            <w:tcBorders>
              <w:bottom w:val="single" w:sz="10" w:color="000000"/>
            </w:tcBorders>
          </w:tcPr>
          <w:p>
            <w:pPr>
              <w:ind w:firstLine="0"/>
              <w:jc w:val="left"/>
            </w:pPr>
            <w:r>
              <w:rPr>
                <w:rFonts w:ascii="Arial" w:hAnsi="Arial"/>
                <w:sz w:val="21"/>
              </w:rPr>
              <w:t>Bioquímico + posição bruta (vazamento)</w:t>
            </w:r>
          </w:p>
        </w:tc>
        <w:tc>
          <w:tcPr>
            <w:tcW w:type="dxa" w:w="2098"/>
            <w:tcBorders>
              <w:bottom w:val="single" w:sz="10" w:color="000000"/>
            </w:tcBorders>
          </w:tcPr>
          <w:p>
            <w:pPr>
              <w:ind w:firstLine="0"/>
              <w:jc w:val="center"/>
            </w:pPr>
            <w:r>
              <w:rPr>
                <w:rFonts w:ascii="Arial" w:hAnsi="Arial"/>
                <w:sz w:val="21"/>
              </w:rPr>
              <w:t>0,802</w:t>
            </w:r>
          </w:p>
        </w:tc>
        <w:tc>
          <w:tcPr>
            <w:tcW w:type="dxa" w:w="1871"/>
            <w:tcBorders>
              <w:bottom w:val="single" w:sz="10" w:color="000000"/>
            </w:tcBorders>
          </w:tcPr>
          <w:p>
            <w:pPr>
              <w:ind w:firstLine="0"/>
              <w:jc w:val="center"/>
            </w:pPr>
            <w:r>
              <w:rPr>
                <w:rFonts w:ascii="Arial" w:hAnsi="Arial"/>
                <w:sz w:val="21"/>
              </w:rPr>
              <w:t>0,791</w:t>
            </w:r>
          </w:p>
        </w:tc>
      </w:tr>
    </w:tbl>
    <w:p>
      <w:pPr>
        <w:spacing w:after="240"/>
        <w:ind w:firstLine="0"/>
      </w:pPr>
      <w:r>
        <w:rPr>
          <w:rFonts w:ascii="Arial" w:hAnsi="Arial"/>
          <w:i/>
          <w:sz w:val="19"/>
        </w:rPr>
        <w:t>DeLong domínio vs. bioquímico: p = 3,2 × 10⁻⁹ (interno), p = 1,8 × 10⁻¹³ (externo). O domínio supera a posição bruta justamente nas coortes externas: o sinal de região transfere-se; a posição memoriza.</w:t>
      </w:r>
    </w:p>
    <w:p>
      <w:pPr>
        <w:spacing w:before="200"/>
        <w:ind w:firstLine="0"/>
        <w:jc w:val="center"/>
      </w:pPr>
      <w:r>
        <w:drawing>
          <wp:inline xmlns:a="http://schemas.openxmlformats.org/drawingml/2006/main" xmlns:pic="http://schemas.openxmlformats.org/drawingml/2006/picture">
            <wp:extent cx="4572000" cy="2641600"/>
            <wp:docPr id="2" name="Picture 2"/>
            <wp:cNvGraphicFramePr>
              <a:graphicFrameLocks noChangeAspect="1"/>
            </wp:cNvGraphicFramePr>
            <a:graphic>
              <a:graphicData uri="http://schemas.openxmlformats.org/drawingml/2006/picture">
                <pic:pic>
                  <pic:nvPicPr>
                    <pic:cNvPr id="0" name="fig_domain_architecture.png"/>
                    <pic:cNvPicPr/>
                  </pic:nvPicPr>
                  <pic:blipFill>
                    <a:blip r:embed="rId10"/>
                    <a:stretch>
                      <a:fillRect/>
                    </a:stretch>
                  </pic:blipFill>
                  <pic:spPr>
                    <a:xfrm>
                      <a:off x="0" y="0"/>
                      <a:ext cx="4572000" cy="2641600"/>
                    </a:xfrm>
                    <a:prstGeom prst="rect"/>
                  </pic:spPr>
                </pic:pic>
              </a:graphicData>
            </a:graphic>
          </wp:inline>
        </w:drawing>
      </w:r>
    </w:p>
    <w:p>
      <w:pPr>
        <w:spacing w:after="240"/>
        <w:ind w:firstLine="0"/>
        <w:jc w:val="center"/>
      </w:pPr>
      <w:r>
        <w:rPr>
          <w:rFonts w:ascii="Arial" w:hAnsi="Arial"/>
          <w:i/>
          <w:sz w:val="20"/>
        </w:rPr>
        <w:t>Figura 2. Domínios funcionais de BRCA1/BRCA2 com variantes reais sobrepostas. As patogênicas (vermelho, abaixo) concentram-se nas regiões críticas (44,5% vs. 6,8–10,0% fora delas) — base biológica do sinal de domínio.</w:t>
      </w:r>
    </w:p>
    <w:p>
      <w:pPr>
        <w:pStyle w:val="Heading3"/>
      </w:pPr>
      <w:r>
        <w:t>Prova visual: mutações patogênicas reais capturadas</w:t>
      </w:r>
    </w:p>
    <w:p>
      <w:pPr>
        <w:spacing w:before="0" w:after="80"/>
        <w:ind w:firstLine="709"/>
      </w:pPr>
      <w:r>
        <w:rPr>
          <w:rFonts w:ascii="Arial" w:hAnsi="Arial"/>
          <w:b w:val="0"/>
          <w:i w:val="0"/>
          <w:sz w:val="24"/>
        </w:rPr>
        <w:t>Foram selecionadas variantes já confirmadas como patogênicas no ClinVar e verificou-se a resposta do modelo-carro-chefe. A Figura 3 mostra o RING de BRCA1 (PDB 1JM7) colorido por intensidade de detecção: as zonas mais sensíveis coincidem exatamente com as cisteínas que coordenam os dois íons de zinco estruturais, sem que essa coordenação tivesse sido informada ao modelo. A Figura 4 detalha seis variantes confirmadas — três no sítio de zinco (Cys39Gly, Cys64Gly, Cys61Tyr) e três no núcleo do BRCT (Met1689Arg, Leu1705Pro, Trp1837Cys) —, todas detectadas com 96,3% a 99,7% de confiança.</w:t>
      </w:r>
    </w:p>
    <w:p>
      <w:pPr>
        <w:spacing w:before="200"/>
        <w:ind w:firstLine="0"/>
        <w:jc w:val="center"/>
      </w:pPr>
      <w:r>
        <w:drawing>
          <wp:inline xmlns:a="http://schemas.openxmlformats.org/drawingml/2006/main" xmlns:pic="http://schemas.openxmlformats.org/drawingml/2006/picture">
            <wp:extent cx="4389120" cy="2743200"/>
            <wp:docPr id="3" name="Picture 3"/>
            <wp:cNvGraphicFramePr>
              <a:graphicFrameLocks noChangeAspect="1"/>
            </wp:cNvGraphicFramePr>
            <a:graphic>
              <a:graphicData uri="http://schemas.openxmlformats.org/drawingml/2006/picture">
                <pic:pic>
                  <pic:nvPicPr>
                    <pic:cNvPr id="0" name="fig_hero_ring.png"/>
                    <pic:cNvPicPr/>
                  </pic:nvPicPr>
                  <pic:blipFill>
                    <a:blip r:embed="rId11"/>
                    <a:stretch>
                      <a:fillRect/>
                    </a:stretch>
                  </pic:blipFill>
                  <pic:spPr>
                    <a:xfrm>
                      <a:off x="0" y="0"/>
                      <a:ext cx="4389120" cy="2743200"/>
                    </a:xfrm>
                    <a:prstGeom prst="rect"/>
                  </pic:spPr>
                </pic:pic>
              </a:graphicData>
            </a:graphic>
          </wp:inline>
        </w:drawing>
      </w:r>
    </w:p>
    <w:p>
      <w:pPr>
        <w:spacing w:after="240"/>
        <w:ind w:firstLine="0"/>
        <w:jc w:val="center"/>
      </w:pPr>
      <w:r>
        <w:rPr>
          <w:rFonts w:ascii="Arial" w:hAnsi="Arial"/>
          <w:i/>
          <w:sz w:val="20"/>
        </w:rPr>
        <w:t>Figura 3. RING de BRCA1 (PDB 1JM7), colorido por intensidade de detecção (azul = tolerante; dourado = detectada). Os dois íons de zinco (esferas) são coordenados por cisteínas identificadas, de forma independente, como a região mais sensível — coerente com décadas de literatura sobre o domínio.</w:t>
      </w:r>
    </w:p>
    <w:p>
      <w:pPr>
        <w:spacing w:before="200"/>
        <w:ind w:firstLine="0"/>
        <w:jc w:val="center"/>
      </w:pPr>
      <w:r>
        <w:drawing>
          <wp:inline xmlns:a="http://schemas.openxmlformats.org/drawingml/2006/main" xmlns:pic="http://schemas.openxmlformats.org/drawingml/2006/picture">
            <wp:extent cx="4206240" cy="4173991"/>
            <wp:docPr id="4" name="Picture 4"/>
            <wp:cNvGraphicFramePr>
              <a:graphicFrameLocks noChangeAspect="1"/>
            </wp:cNvGraphicFramePr>
            <a:graphic>
              <a:graphicData uri="http://schemas.openxmlformats.org/drawingml/2006/picture">
                <pic:pic>
                  <pic:nvPicPr>
                    <pic:cNvPr id="0" name="fig_detected_panel.png"/>
                    <pic:cNvPicPr/>
                  </pic:nvPicPr>
                  <pic:blipFill>
                    <a:blip r:embed="rId12"/>
                    <a:stretch>
                      <a:fillRect/>
                    </a:stretch>
                  </pic:blipFill>
                  <pic:spPr>
                    <a:xfrm>
                      <a:off x="0" y="0"/>
                      <a:ext cx="4206240" cy="4173991"/>
                    </a:xfrm>
                    <a:prstGeom prst="rect"/>
                  </pic:spPr>
                </pic:pic>
              </a:graphicData>
            </a:graphic>
          </wp:inline>
        </w:drawing>
      </w:r>
    </w:p>
    <w:p>
      <w:pPr>
        <w:spacing w:after="240"/>
        <w:ind w:firstLine="0"/>
        <w:jc w:val="center"/>
      </w:pPr>
      <w:r>
        <w:rPr>
          <w:rFonts w:ascii="Arial" w:hAnsi="Arial"/>
          <w:i/>
          <w:sz w:val="20"/>
        </w:rPr>
        <w:t>Figura 4. Seis variantes de BRCA1 confirmadas patogênicas no ClinVar, cada uma sobre sua estrutura real, com o veredito do ClinVar (selo verde) e a chamada do modelo (selo dourado) — todas detectadas com alta confiança.</w:t>
      </w:r>
    </w:p>
    <w:p>
      <w:pPr>
        <w:spacing w:before="0" w:after="80"/>
        <w:ind w:firstLine="709"/>
      </w:pPr>
      <w:r>
        <w:rPr>
          <w:rFonts w:ascii="Arial" w:hAnsi="Arial"/>
          <w:b w:val="0"/>
          <w:i w:val="0"/>
          <w:sz w:val="24"/>
        </w:rPr>
        <w:t>O mesmo exercício, repetido em BRCA2 (variantes clássicas do DBD como Gly2748Asp, Arg3052Trp e Trp2626Cys, detectadas com 75,3% a 96,7%; Material Suplementar), confirmou que a abordagem generaliza entre genes: na superfície molecular completa dos dois domínios (Figura 5), as mesmas zonas de risco — o núcleo funcional de cada domínio — emergem de forma independente em BRCA1 (BRCT) e BRCA2 (DBD), assinatura estrutural comum e não sinal ajustado a um único gene.</w:t>
      </w:r>
    </w:p>
    <w:p>
      <w:pPr>
        <w:spacing w:before="200"/>
        <w:ind w:firstLine="0"/>
        <w:jc w:val="center"/>
      </w:pPr>
      <w:r>
        <w:drawing>
          <wp:inline xmlns:a="http://schemas.openxmlformats.org/drawingml/2006/main" xmlns:pic="http://schemas.openxmlformats.org/drawingml/2006/picture">
            <wp:extent cx="4389120" cy="3035453"/>
            <wp:docPr id="5" name="Picture 5"/>
            <wp:cNvGraphicFramePr>
              <a:graphicFrameLocks noChangeAspect="1"/>
            </wp:cNvGraphicFramePr>
            <a:graphic>
              <a:graphicData uri="http://schemas.openxmlformats.org/drawingml/2006/picture">
                <pic:pic>
                  <pic:nvPicPr>
                    <pic:cNvPr id="0" name="fig_surface_landscape.png"/>
                    <pic:cNvPicPr/>
                  </pic:nvPicPr>
                  <pic:blipFill>
                    <a:blip r:embed="rId13"/>
                    <a:stretch>
                      <a:fillRect/>
                    </a:stretch>
                  </pic:blipFill>
                  <pic:spPr>
                    <a:xfrm>
                      <a:off x="0" y="0"/>
                      <a:ext cx="4389120" cy="3035453"/>
                    </a:xfrm>
                    <a:prstGeom prst="rect"/>
                  </pic:spPr>
                </pic:pic>
              </a:graphicData>
            </a:graphic>
          </wp:inline>
        </w:drawing>
      </w:r>
    </w:p>
    <w:p>
      <w:pPr>
        <w:spacing w:after="240"/>
        <w:ind w:firstLine="0"/>
        <w:jc w:val="center"/>
      </w:pPr>
      <w:r>
        <w:rPr>
          <w:rFonts w:ascii="Arial" w:hAnsi="Arial"/>
          <w:i/>
          <w:sz w:val="20"/>
        </w:rPr>
        <w:t>Figura 5. Paisagem de detecção na superfície molecular completa do domínio BRCT de BRCA1 e do domínio de ligação ao DNA (DBD) de BRCA2. As zonas douradas — o núcleo funcional de cada domínio — concentram as detecções de patogenicidade; a mesma assinatura estrutural emerge nos dois genes de forma independente, evidência visual de que o modelo capturou mecanismo transferível, e não um artefato específico de BRCA1.</w:t>
      </w:r>
    </w:p>
    <w:p>
      <w:pPr>
        <w:pStyle w:val="Heading3"/>
      </w:pPr>
      <w:r>
        <w:t>Robustez, meta-análise e o modelo-carro-chefe</w:t>
      </w:r>
    </w:p>
    <w:p>
      <w:pPr>
        <w:spacing w:before="0" w:after="0"/>
        <w:ind w:firstLine="709"/>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4; DeLong p = 1,5 × 10⁻¹⁰ vs. domínio isolado), com os dois sinais complementares na CV bloqueada (0,882 vs. 0,818 e 0,867 isolados). Uma objeção honesta: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 desempenho que não se explica pela distribuição de classes. Examinado coorte a coorte (Tabela 5), o modelo-carro-chefe atinge 0,968 e 0,953 nas duas coortes de painel especialista — onde os rótulos têm máxima confiança —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confirma o escore ESM-2 e a pertinência a domínio crítico como preditores dominantes, com direção de efeito biologicamente correta.</w:t>
      </w:r>
    </w:p>
    <w:p>
      <w:pPr>
        <w:spacing w:before="200"/>
        <w:ind w:firstLine="0"/>
      </w:pPr>
      <w:r>
        <w:rPr>
          <w:rFonts w:ascii="Arial" w:hAnsi="Arial"/>
          <w:b/>
          <w:sz w:val="22"/>
        </w:rPr>
        <w:t>Tabela 4. Modelo-carro-chefe sob o protocolo anti-vazamento (AUC-ROC).</w:t>
      </w:r>
    </w:p>
    <w:tbl>
      <w:tblPr>
        <w:tblW w:type="auto" w:w="0"/>
        <w:jc w:val="center"/>
        <w:tblLayout w:type="fixed"/>
        <w:tblLook w:firstColumn="1" w:firstRow="1" w:lastColumn="0" w:lastRow="0" w:noHBand="0" w:noVBand="1" w:val="04A0"/>
      </w:tblPr>
      <w:tblGrid>
        <w:gridCol w:w="3024"/>
        <w:gridCol w:w="3024"/>
        <w:gridCol w:w="3024"/>
      </w:tblGrid>
      <w:tr>
        <w:trPr>
          <w:cantSplit/>
        </w:trPr>
        <w:tc>
          <w:tcPr>
            <w:tcW w:type="dxa" w:w="3969"/>
            <w:tcBorders>
              <w:top w:val="single" w:sz="10" w:color="000000"/>
              <w:bottom w:val="single" w:sz="10" w:color="000000"/>
            </w:tcBorders>
          </w:tcPr>
          <w:p>
            <w:pPr>
              <w:ind w:firstLine="0"/>
              <w:jc w:val="center"/>
            </w:pPr>
            <w:r>
              <w:rPr>
                <w:rFonts w:ascii="Arial" w:hAnsi="Arial"/>
                <w:b/>
                <w:sz w:val="21"/>
              </w:rPr>
              <w:t>Modelo</w:t>
            </w:r>
          </w:p>
        </w:tc>
        <w:tc>
          <w:tcPr>
            <w:tcW w:type="dxa" w:w="2268"/>
            <w:tcBorders>
              <w:top w:val="single" w:sz="10" w:color="000000"/>
              <w:bottom w:val="single" w:sz="10" w:color="000000"/>
            </w:tcBorders>
          </w:tcPr>
          <w:p>
            <w:pPr>
              <w:ind w:firstLine="0"/>
              <w:jc w:val="center"/>
            </w:pPr>
            <w:r>
              <w:rPr>
                <w:rFonts w:ascii="Arial" w:hAnsi="Arial"/>
                <w:b/>
                <w:sz w:val="21"/>
              </w:rPr>
              <w:t>CV bloqueada</w:t>
            </w:r>
          </w:p>
        </w:tc>
        <w:tc>
          <w:tcPr>
            <w:tcW w:type="dxa" w:w="2268"/>
            <w:tcBorders>
              <w:top w:val="single" w:sz="10" w:color="000000"/>
              <w:bottom w:val="single" w:sz="10" w:color="000000"/>
            </w:tcBorders>
          </w:tcPr>
          <w:p>
            <w:pPr>
              <w:ind w:firstLine="0"/>
              <w:jc w:val="center"/>
            </w:pPr>
            <w:r>
              <w:rPr>
                <w:rFonts w:ascii="Arial" w:hAnsi="Arial"/>
                <w:b/>
                <w:sz w:val="21"/>
              </w:rPr>
              <w:t>Externa</w:t>
            </w:r>
          </w:p>
        </w:tc>
      </w:tr>
      <w:tr>
        <w:trPr>
          <w:cantSplit/>
        </w:trPr>
        <w:tc>
          <w:tcPr>
            <w:tcW w:type="dxa" w:w="3969"/>
          </w:tcPr>
          <w:p>
            <w:pPr>
              <w:ind w:firstLine="0"/>
              <w:jc w:val="left"/>
            </w:pPr>
            <w:r>
              <w:rPr>
                <w:rFonts w:ascii="Arial" w:hAnsi="Arial"/>
                <w:sz w:val="21"/>
              </w:rPr>
              <w:t>Consciente de domínio</w:t>
            </w:r>
          </w:p>
        </w:tc>
        <w:tc>
          <w:tcPr>
            <w:tcW w:type="dxa" w:w="2268"/>
          </w:tcPr>
          <w:p>
            <w:pPr>
              <w:ind w:firstLine="0"/>
              <w:jc w:val="center"/>
            </w:pPr>
            <w:r>
              <w:rPr>
                <w:rFonts w:ascii="Arial" w:hAnsi="Arial"/>
                <w:sz w:val="21"/>
              </w:rPr>
              <w:t>0,818</w:t>
            </w:r>
          </w:p>
        </w:tc>
        <w:tc>
          <w:tcPr>
            <w:tcW w:type="dxa" w:w="2268"/>
          </w:tcPr>
          <w:p>
            <w:pPr>
              <w:ind w:firstLine="0"/>
              <w:jc w:val="center"/>
            </w:pPr>
            <w:r>
              <w:rPr>
                <w:rFonts w:ascii="Arial" w:hAnsi="Arial"/>
                <w:sz w:val="21"/>
              </w:rPr>
              <w:t>0,847</w:t>
            </w:r>
          </w:p>
        </w:tc>
      </w:tr>
      <w:tr>
        <w:trPr>
          <w:cantSplit/>
        </w:trPr>
        <w:tc>
          <w:tcPr>
            <w:tcW w:type="dxa" w:w="3969"/>
          </w:tcPr>
          <w:p>
            <w:pPr>
              <w:ind w:firstLine="0"/>
              <w:jc w:val="left"/>
            </w:pPr>
            <w:r>
              <w:rPr>
                <w:rFonts w:ascii="Arial" w:hAnsi="Arial"/>
                <w:sz w:val="21"/>
              </w:rPr>
              <w:t>ESM-2 (650M) sozinho</w:t>
            </w:r>
          </w:p>
        </w:tc>
        <w:tc>
          <w:tcPr>
            <w:tcW w:type="dxa" w:w="2268"/>
          </w:tcPr>
          <w:p>
            <w:pPr>
              <w:ind w:firstLine="0"/>
              <w:jc w:val="center"/>
            </w:pPr>
            <w:r>
              <w:rPr>
                <w:rFonts w:ascii="Arial" w:hAnsi="Arial"/>
                <w:sz w:val="21"/>
              </w:rPr>
              <w:t>0,867</w:t>
            </w:r>
          </w:p>
        </w:tc>
        <w:tc>
          <w:tcPr>
            <w:tcW w:type="dxa" w:w="2268"/>
          </w:tcPr>
          <w:p>
            <w:pPr>
              <w:ind w:firstLine="0"/>
              <w:jc w:val="center"/>
            </w:pPr>
            <w:r>
              <w:rPr>
                <w:rFonts w:ascii="Arial" w:hAnsi="Arial"/>
                <w:sz w:val="21"/>
              </w:rPr>
              <w:t>0,907</w:t>
            </w:r>
          </w:p>
        </w:tc>
      </w:tr>
      <w:tr>
        <w:trPr>
          <w:cantSplit/>
        </w:trPr>
        <w:tc>
          <w:tcPr>
            <w:tcW w:type="dxa" w:w="3969"/>
            <w:tcBorders>
              <w:bottom w:val="single" w:sz="10" w:color="000000"/>
            </w:tcBorders>
          </w:tcPr>
          <w:p>
            <w:pPr>
              <w:ind w:firstLine="0"/>
              <w:jc w:val="left"/>
            </w:pPr>
            <w:r>
              <w:rPr>
                <w:rFonts w:ascii="Arial" w:hAnsi="Arial"/>
                <w:sz w:val="21"/>
              </w:rPr>
              <w:t>Domínio + ESM-2 (carro-chefe)</w:t>
            </w:r>
          </w:p>
        </w:tc>
        <w:tc>
          <w:tcPr>
            <w:tcW w:type="dxa" w:w="2268"/>
            <w:tcBorders>
              <w:bottom w:val="single" w:sz="10" w:color="000000"/>
            </w:tcBorders>
          </w:tcPr>
          <w:p>
            <w:pPr>
              <w:ind w:firstLine="0"/>
              <w:jc w:val="center"/>
            </w:pPr>
            <w:r>
              <w:rPr>
                <w:rFonts w:ascii="Arial" w:hAnsi="Arial"/>
                <w:sz w:val="21"/>
              </w:rPr>
              <w:t>0,882</w:t>
            </w:r>
          </w:p>
        </w:tc>
        <w:tc>
          <w:tcPr>
            <w:tcW w:type="dxa" w:w="2268"/>
            <w:tcBorders>
              <w:bottom w:val="single" w:sz="10" w:color="000000"/>
            </w:tcBorders>
          </w:tcPr>
          <w:p>
            <w:pPr>
              <w:ind w:firstLine="0"/>
              <w:jc w:val="center"/>
            </w:pPr>
            <w:r>
              <w:rPr>
                <w:rFonts w:ascii="Arial" w:hAnsi="Arial"/>
                <w:sz w:val="21"/>
              </w:rPr>
              <w:t>0,909</w:t>
            </w:r>
          </w:p>
        </w:tc>
      </w:tr>
    </w:tbl>
    <w:p>
      <w:pPr>
        <w:spacing w:before="200"/>
        <w:ind w:firstLine="0"/>
      </w:pPr>
      <w:r>
        <w:rPr>
          <w:rFonts w:ascii="Arial" w:hAnsi="Arial"/>
          <w:b/>
          <w:sz w:val="22"/>
        </w:rPr>
        <w:t>Tabela 5. Desempenho do modelo-carro-chefe por coorte externa. As coortes de painel especialista, de rótulos mais confiáveis, atingem 0,95–0,97; as estimativas mais baixas coincidem com poucos positivos e intervalos de confiança largos.</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3402"/>
            <w:tcBorders>
              <w:top w:val="single" w:sz="10" w:color="000000"/>
              <w:bottom w:val="single" w:sz="10" w:color="000000"/>
            </w:tcBorders>
          </w:tcPr>
          <w:p>
            <w:pPr>
              <w:ind w:firstLine="0"/>
              <w:jc w:val="center"/>
            </w:pPr>
            <w:r>
              <w:rPr>
                <w:rFonts w:ascii="Arial" w:hAnsi="Arial"/>
                <w:b/>
                <w:sz w:val="21"/>
              </w:rPr>
              <w:t>Coorte externa</w:t>
            </w:r>
          </w:p>
        </w:tc>
        <w:tc>
          <w:tcPr>
            <w:tcW w:type="dxa" w:w="850"/>
            <w:tcBorders>
              <w:top w:val="single" w:sz="10" w:color="000000"/>
              <w:bottom w:val="single" w:sz="10" w:color="000000"/>
            </w:tcBorders>
          </w:tcPr>
          <w:p>
            <w:pPr>
              <w:ind w:firstLine="0"/>
              <w:jc w:val="center"/>
            </w:pPr>
            <w:r>
              <w:rPr>
                <w:rFonts w:ascii="Arial" w:hAnsi="Arial"/>
                <w:b/>
                <w:sz w:val="21"/>
              </w:rPr>
              <w:t>n</w:t>
            </w:r>
          </w:p>
        </w:tc>
        <w:tc>
          <w:tcPr>
            <w:tcW w:type="dxa" w:w="1134"/>
            <w:tcBorders>
              <w:top w:val="single" w:sz="10" w:color="000000"/>
              <w:bottom w:val="single" w:sz="10" w:color="000000"/>
            </w:tcBorders>
          </w:tcPr>
          <w:p>
            <w:pPr>
              <w:ind w:firstLine="0"/>
              <w:jc w:val="center"/>
            </w:pPr>
            <w:r>
              <w:rPr>
                <w:rFonts w:ascii="Arial" w:hAnsi="Arial"/>
                <w:b/>
                <w:sz w:val="21"/>
              </w:rPr>
              <w:t>patog.</w:t>
            </w:r>
          </w:p>
        </w:tc>
        <w:tc>
          <w:tcPr>
            <w:tcW w:type="dxa" w:w="1814"/>
            <w:tcBorders>
              <w:top w:val="single" w:sz="10" w:color="000000"/>
              <w:bottom w:val="single" w:sz="10" w:color="000000"/>
            </w:tcBorders>
          </w:tcPr>
          <w:p>
            <w:pPr>
              <w:ind w:firstLine="0"/>
              <w:jc w:val="center"/>
            </w:pPr>
            <w:r>
              <w:rPr>
                <w:rFonts w:ascii="Arial" w:hAnsi="Arial"/>
                <w:b/>
                <w:sz w:val="21"/>
              </w:rPr>
              <w:t>AUC (modelo)</w:t>
            </w:r>
          </w:p>
        </w:tc>
        <w:tc>
          <w:tcPr>
            <w:tcW w:type="dxa" w:w="1701"/>
            <w:tcBorders>
              <w:top w:val="single" w:sz="10" w:color="000000"/>
              <w:bottom w:val="single" w:sz="10" w:color="000000"/>
            </w:tcBorders>
          </w:tcPr>
          <w:p>
            <w:pPr>
              <w:ind w:firstLine="0"/>
              <w:jc w:val="center"/>
            </w:pPr>
            <w:r>
              <w:rPr>
                <w:rFonts w:ascii="Arial" w:hAnsi="Arial"/>
                <w:b/>
                <w:sz w:val="21"/>
              </w:rPr>
              <w:t>IC95%</w:t>
            </w:r>
          </w:p>
        </w:tc>
      </w:tr>
      <w:tr>
        <w:trPr>
          <w:cantSplit/>
        </w:trPr>
        <w:tc>
          <w:tcPr>
            <w:tcW w:type="dxa" w:w="3402"/>
          </w:tcPr>
          <w:p>
            <w:pPr>
              <w:ind w:firstLine="0"/>
              <w:jc w:val="left"/>
            </w:pPr>
            <w:r>
              <w:rPr>
                <w:rFonts w:ascii="Arial" w:hAnsi="Arial"/>
                <w:sz w:val="21"/>
              </w:rPr>
              <w:t>BRCA1 — painel especialista</w:t>
            </w:r>
          </w:p>
        </w:tc>
        <w:tc>
          <w:tcPr>
            <w:tcW w:type="dxa" w:w="850"/>
          </w:tcPr>
          <w:p>
            <w:pPr>
              <w:ind w:firstLine="0"/>
              <w:jc w:val="center"/>
            </w:pPr>
            <w:r>
              <w:rPr>
                <w:rFonts w:ascii="Arial" w:hAnsi="Arial"/>
                <w:sz w:val="21"/>
              </w:rPr>
              <w:t>204</w:t>
            </w:r>
          </w:p>
        </w:tc>
        <w:tc>
          <w:tcPr>
            <w:tcW w:type="dxa" w:w="1134"/>
          </w:tcPr>
          <w:p>
            <w:pPr>
              <w:ind w:firstLine="0"/>
              <w:jc w:val="center"/>
            </w:pPr>
            <w:r>
              <w:rPr>
                <w:rFonts w:ascii="Arial" w:hAnsi="Arial"/>
                <w:sz w:val="21"/>
              </w:rPr>
              <w:t>69</w:t>
            </w:r>
          </w:p>
        </w:tc>
        <w:tc>
          <w:tcPr>
            <w:tcW w:type="dxa" w:w="1814"/>
          </w:tcPr>
          <w:p>
            <w:pPr>
              <w:ind w:firstLine="0"/>
              <w:jc w:val="center"/>
            </w:pPr>
            <w:r>
              <w:rPr>
                <w:rFonts w:ascii="Arial" w:hAnsi="Arial"/>
                <w:sz w:val="21"/>
              </w:rPr>
              <w:t>0,968</w:t>
            </w:r>
          </w:p>
        </w:tc>
        <w:tc>
          <w:tcPr>
            <w:tcW w:type="dxa" w:w="1701"/>
          </w:tcPr>
          <w:p>
            <w:pPr>
              <w:ind w:firstLine="0"/>
              <w:jc w:val="center"/>
            </w:pPr>
            <w:r>
              <w:rPr>
                <w:rFonts w:ascii="Arial" w:hAnsi="Arial"/>
                <w:sz w:val="21"/>
              </w:rPr>
              <w:t>0,939–0,989</w:t>
            </w:r>
          </w:p>
        </w:tc>
      </w:tr>
      <w:tr>
        <w:trPr>
          <w:cantSplit/>
        </w:trPr>
        <w:tc>
          <w:tcPr>
            <w:tcW w:type="dxa" w:w="3402"/>
          </w:tcPr>
          <w:p>
            <w:pPr>
              <w:ind w:firstLine="0"/>
              <w:jc w:val="left"/>
            </w:pPr>
            <w:r>
              <w:rPr>
                <w:rFonts w:ascii="Arial" w:hAnsi="Arial"/>
                <w:sz w:val="21"/>
              </w:rPr>
              <w:t>BRCA2 — painel especialista</w:t>
            </w:r>
          </w:p>
        </w:tc>
        <w:tc>
          <w:tcPr>
            <w:tcW w:type="dxa" w:w="850"/>
          </w:tcPr>
          <w:p>
            <w:pPr>
              <w:ind w:firstLine="0"/>
              <w:jc w:val="center"/>
            </w:pPr>
            <w:r>
              <w:rPr>
                <w:rFonts w:ascii="Arial" w:hAnsi="Arial"/>
                <w:sz w:val="21"/>
              </w:rPr>
              <w:t>175</w:t>
            </w:r>
          </w:p>
        </w:tc>
        <w:tc>
          <w:tcPr>
            <w:tcW w:type="dxa" w:w="1134"/>
          </w:tcPr>
          <w:p>
            <w:pPr>
              <w:ind w:firstLine="0"/>
              <w:jc w:val="center"/>
            </w:pPr>
            <w:r>
              <w:rPr>
                <w:rFonts w:ascii="Arial" w:hAnsi="Arial"/>
                <w:sz w:val="21"/>
              </w:rPr>
              <w:t>39</w:t>
            </w:r>
          </w:p>
        </w:tc>
        <w:tc>
          <w:tcPr>
            <w:tcW w:type="dxa" w:w="1814"/>
          </w:tcPr>
          <w:p>
            <w:pPr>
              <w:ind w:firstLine="0"/>
              <w:jc w:val="center"/>
            </w:pPr>
            <w:r>
              <w:rPr>
                <w:rFonts w:ascii="Arial" w:hAnsi="Arial"/>
                <w:sz w:val="21"/>
              </w:rPr>
              <w:t>0,953</w:t>
            </w:r>
          </w:p>
        </w:tc>
        <w:tc>
          <w:tcPr>
            <w:tcW w:type="dxa" w:w="1701"/>
          </w:tcPr>
          <w:p>
            <w:pPr>
              <w:ind w:firstLine="0"/>
              <w:jc w:val="center"/>
            </w:pPr>
            <w:r>
              <w:rPr>
                <w:rFonts w:ascii="Arial" w:hAnsi="Arial"/>
                <w:sz w:val="21"/>
              </w:rPr>
              <w:t>0,894–0,992</w:t>
            </w:r>
          </w:p>
        </w:tc>
      </w:tr>
      <w:tr>
        <w:trPr>
          <w:cantSplit/>
        </w:trPr>
        <w:tc>
          <w:tcPr>
            <w:tcW w:type="dxa" w:w="3402"/>
          </w:tcPr>
          <w:p>
            <w:pPr>
              <w:ind w:firstLine="0"/>
              <w:jc w:val="left"/>
            </w:pPr>
            <w:r>
              <w:rPr>
                <w:rFonts w:ascii="Arial" w:hAnsi="Arial"/>
                <w:sz w:val="21"/>
              </w:rPr>
              <w:t>BRCA2 — coorte externa</w:t>
            </w:r>
          </w:p>
        </w:tc>
        <w:tc>
          <w:tcPr>
            <w:tcW w:type="dxa" w:w="850"/>
          </w:tcPr>
          <w:p>
            <w:pPr>
              <w:ind w:firstLine="0"/>
              <w:jc w:val="center"/>
            </w:pPr>
            <w:r>
              <w:rPr>
                <w:rFonts w:ascii="Arial" w:hAnsi="Arial"/>
                <w:sz w:val="21"/>
              </w:rPr>
              <w:t>289</w:t>
            </w:r>
          </w:p>
        </w:tc>
        <w:tc>
          <w:tcPr>
            <w:tcW w:type="dxa" w:w="1134"/>
          </w:tcPr>
          <w:p>
            <w:pPr>
              <w:ind w:firstLine="0"/>
              <w:jc w:val="center"/>
            </w:pPr>
            <w:r>
              <w:rPr>
                <w:rFonts w:ascii="Arial" w:hAnsi="Arial"/>
                <w:sz w:val="21"/>
              </w:rPr>
              <w:t>15</w:t>
            </w:r>
          </w:p>
        </w:tc>
        <w:tc>
          <w:tcPr>
            <w:tcW w:type="dxa" w:w="1814"/>
          </w:tcPr>
          <w:p>
            <w:pPr>
              <w:ind w:firstLine="0"/>
              <w:jc w:val="center"/>
            </w:pPr>
            <w:r>
              <w:rPr>
                <w:rFonts w:ascii="Arial" w:hAnsi="Arial"/>
                <w:sz w:val="21"/>
              </w:rPr>
              <w:t>0,800</w:t>
            </w:r>
          </w:p>
        </w:tc>
        <w:tc>
          <w:tcPr>
            <w:tcW w:type="dxa" w:w="1701"/>
          </w:tcPr>
          <w:p>
            <w:pPr>
              <w:ind w:firstLine="0"/>
              <w:jc w:val="center"/>
            </w:pPr>
            <w:r>
              <w:rPr>
                <w:rFonts w:ascii="Arial" w:hAnsi="Arial"/>
                <w:sz w:val="21"/>
              </w:rPr>
              <w:t>0,649–0,936</w:t>
            </w:r>
          </w:p>
        </w:tc>
      </w:tr>
      <w:tr>
        <w:trPr>
          <w:cantSplit/>
        </w:trPr>
        <w:tc>
          <w:tcPr>
            <w:tcW w:type="dxa" w:w="3402"/>
            <w:tcBorders>
              <w:bottom w:val="single" w:sz="10" w:color="000000"/>
            </w:tcBorders>
          </w:tcPr>
          <w:p>
            <w:pPr>
              <w:ind w:firstLine="0"/>
              <w:jc w:val="left"/>
            </w:pPr>
            <w:r>
              <w:rPr>
                <w:rFonts w:ascii="Arial" w:hAnsi="Arial"/>
                <w:sz w:val="21"/>
              </w:rPr>
              <w:t>BRCA1 — coorte externa</w:t>
            </w:r>
          </w:p>
        </w:tc>
        <w:tc>
          <w:tcPr>
            <w:tcW w:type="dxa" w:w="850"/>
            <w:tcBorders>
              <w:bottom w:val="single" w:sz="10" w:color="000000"/>
            </w:tcBorders>
          </w:tcPr>
          <w:p>
            <w:pPr>
              <w:ind w:firstLine="0"/>
              <w:jc w:val="center"/>
            </w:pPr>
            <w:r>
              <w:rPr>
                <w:rFonts w:ascii="Arial" w:hAnsi="Arial"/>
                <w:sz w:val="21"/>
              </w:rPr>
              <w:t>168</w:t>
            </w:r>
          </w:p>
        </w:tc>
        <w:tc>
          <w:tcPr>
            <w:tcW w:type="dxa" w:w="1134"/>
            <w:tcBorders>
              <w:bottom w:val="single" w:sz="10" w:color="000000"/>
            </w:tcBorders>
          </w:tcPr>
          <w:p>
            <w:pPr>
              <w:ind w:firstLine="0"/>
              <w:jc w:val="center"/>
            </w:pPr>
            <w:r>
              <w:rPr>
                <w:rFonts w:ascii="Arial" w:hAnsi="Arial"/>
                <w:sz w:val="21"/>
              </w:rPr>
              <w:t>21</w:t>
            </w:r>
          </w:p>
        </w:tc>
        <w:tc>
          <w:tcPr>
            <w:tcW w:type="dxa" w:w="1814"/>
            <w:tcBorders>
              <w:bottom w:val="single" w:sz="10" w:color="000000"/>
            </w:tcBorders>
          </w:tcPr>
          <w:p>
            <w:pPr>
              <w:ind w:firstLine="0"/>
              <w:jc w:val="center"/>
            </w:pPr>
            <w:r>
              <w:rPr>
                <w:rFonts w:ascii="Arial" w:hAnsi="Arial"/>
                <w:sz w:val="21"/>
              </w:rPr>
              <w:t>0,651</w:t>
            </w:r>
          </w:p>
        </w:tc>
        <w:tc>
          <w:tcPr>
            <w:tcW w:type="dxa" w:w="1701"/>
            <w:tcBorders>
              <w:bottom w:val="single" w:sz="10" w:color="000000"/>
            </w:tcBorders>
          </w:tcPr>
          <w:p>
            <w:pPr>
              <w:ind w:firstLine="0"/>
              <w:jc w:val="center"/>
            </w:pPr>
            <w:r>
              <w:rPr>
                <w:rFonts w:ascii="Arial" w:hAnsi="Arial"/>
                <w:sz w:val="21"/>
              </w:rPr>
              <w:t>0,521–0,776</w:t>
            </w:r>
          </w:p>
        </w:tc>
      </w:tr>
    </w:tbl>
    <w:p>
      <w:pPr>
        <w:pStyle w:val="Heading3"/>
      </w:pPr>
      <w:r>
        <w:t>Vazamento a favor de terceiros: a comparação honesta</w:t>
      </w:r>
    </w:p>
    <w:p>
      <w:pPr>
        <w:spacing w:before="0" w:after="80"/>
        <w:ind w:firstLine="709"/>
      </w:pPr>
      <w:r>
        <w:rPr>
          <w:rFonts w:ascii="Arial" w:hAnsi="Arial"/>
          <w:b w:val="0"/>
          <w:i w:val="0"/>
          <w:sz w:val="24"/>
        </w:rPr>
        <w:t>No mesmo conjunto externo (n = 836), o modelo-carro-chefe foi medido contra preditores publicados (Figura 6; Tabela 6). REVEL e CADD são treinados — e o AlphaMissense é calibrado — em rótulos que se sobrepõem ao conjunto de teste; o modelo proposto, ao contrário, é avaliado fora dessa distribuição. Mesmo em desvantagem, a diferença para os três líderes não é significativa (p = 0,14 a 0,37), e a superioridade sobre SIFT e PolyPhen-2 é clara. Duas verificações reforçam esse empate. Sob AUPRC — robusta ao desbalanceamento (base trivial 0,172) —,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 mesmo a única ferramenta sem circularidade não o supera. Tentou-se isolar o vazamento por corte temporal (≥ 2024); o recorte não separa o efeito de forma limpa —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 e é por isso que o diferencial real não está em vencer no AUC bruto, mas em complementar essas ferramentas onde elas se abstêm.</w:t>
      </w:r>
    </w:p>
    <w:p>
      <w:pPr>
        <w:spacing w:before="200"/>
        <w:ind w:firstLine="0"/>
        <w:jc w:val="center"/>
      </w:pPr>
      <w:r>
        <w:drawing>
          <wp:inline xmlns:a="http://schemas.openxmlformats.org/drawingml/2006/main" xmlns:pic="http://schemas.openxmlformats.org/drawingml/2006/picture">
            <wp:extent cx="4572000" cy="2339898"/>
            <wp:docPr id="6" name="Picture 6"/>
            <wp:cNvGraphicFramePr>
              <a:graphicFrameLocks noChangeAspect="1"/>
            </wp:cNvGraphicFramePr>
            <a:graphic>
              <a:graphicData uri="http://schemas.openxmlformats.org/drawingml/2006/picture">
                <pic:pic>
                  <pic:nvPicPr>
                    <pic:cNvPr id="0" name="fig_benchmark_leakage_controlled.png"/>
                    <pic:cNvPicPr/>
                  </pic:nvPicPr>
                  <pic:blipFill>
                    <a:blip r:embed="rId14"/>
                    <a:stretch>
                      <a:fillRect/>
                    </a:stretch>
                  </pic:blipFill>
                  <pic:spPr>
                    <a:xfrm>
                      <a:off x="0" y="0"/>
                      <a:ext cx="4572000" cy="2339898"/>
                    </a:xfrm>
                    <a:prstGeom prst="rect"/>
                  </pic:spPr>
                </pic:pic>
              </a:graphicData>
            </a:graphic>
          </wp:inline>
        </w:drawing>
      </w:r>
    </w:p>
    <w:p>
      <w:pPr>
        <w:spacing w:after="240"/>
        <w:ind w:firstLine="0"/>
        <w:jc w:val="center"/>
      </w:pPr>
      <w:r>
        <w:rPr>
          <w:rFonts w:ascii="Arial" w:hAnsi="Arial"/>
          <w:i/>
          <w:sz w:val="20"/>
        </w:rPr>
        <w:t>Figura 6. Comparação honesta com o estado da arte: preditores supervisionados/calibrados em ClinVar (azul) têm circularidade a favor; o modelo-carro-chefe (vermelho) é avaliado fora da distribuição.</w:t>
      </w:r>
    </w:p>
    <w:p>
      <w:pPr>
        <w:spacing w:before="200"/>
        <w:ind w:firstLine="0"/>
      </w:pPr>
      <w:r>
        <w:rPr>
          <w:rFonts w:ascii="Arial" w:hAnsi="Arial"/>
          <w:b/>
          <w:sz w:val="22"/>
        </w:rPr>
        <w:t>Tabela 6. Comparação honesta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rPr>
        <w:tc>
          <w:tcPr>
            <w:tcW w:type="dxa" w:w="1757"/>
            <w:tcBorders>
              <w:top w:val="single" w:sz="10" w:color="000000"/>
              <w:bottom w:val="single" w:sz="10" w:color="000000"/>
            </w:tcBorders>
          </w:tcPr>
          <w:p>
            <w:pPr>
              <w:ind w:firstLine="0"/>
              <w:jc w:val="center"/>
            </w:pPr>
            <w:r>
              <w:rPr>
                <w:rFonts w:ascii="Arial" w:hAnsi="Arial"/>
                <w:b/>
                <w:sz w:val="19"/>
              </w:rPr>
              <w:t>Ferramenta</w:t>
            </w:r>
          </w:p>
        </w:tc>
        <w:tc>
          <w:tcPr>
            <w:tcW w:type="dxa" w:w="850"/>
            <w:tcBorders>
              <w:top w:val="single" w:sz="10" w:color="000000"/>
              <w:bottom w:val="single" w:sz="10" w:color="000000"/>
            </w:tcBorders>
          </w:tcPr>
          <w:p>
            <w:pPr>
              <w:ind w:firstLine="0"/>
              <w:jc w:val="center"/>
            </w:pPr>
            <w:r>
              <w:rPr>
                <w:rFonts w:ascii="Arial" w:hAnsi="Arial"/>
                <w:b/>
                <w:sz w:val="19"/>
              </w:rPr>
              <w:t>AUC</w:t>
            </w:r>
          </w:p>
        </w:tc>
        <w:tc>
          <w:tcPr>
            <w:tcW w:type="dxa" w:w="907"/>
            <w:tcBorders>
              <w:top w:val="single" w:sz="10" w:color="000000"/>
              <w:bottom w:val="single" w:sz="10" w:color="000000"/>
            </w:tcBorders>
          </w:tcPr>
          <w:p>
            <w:pPr>
              <w:ind w:firstLine="0"/>
              <w:jc w:val="center"/>
            </w:pPr>
            <w:r>
              <w:rPr>
                <w:rFonts w:ascii="Arial" w:hAnsi="Arial"/>
                <w:b/>
                <w:sz w:val="19"/>
              </w:rPr>
              <w:t>AUPRC</w:t>
            </w:r>
          </w:p>
        </w:tc>
        <w:tc>
          <w:tcPr>
            <w:tcW w:type="dxa" w:w="2438"/>
            <w:tcBorders>
              <w:top w:val="single" w:sz="10" w:color="000000"/>
              <w:bottom w:val="single" w:sz="10" w:color="000000"/>
            </w:tcBorders>
          </w:tcPr>
          <w:p>
            <w:pPr>
              <w:ind w:firstLine="0"/>
              <w:jc w:val="center"/>
            </w:pPr>
            <w:r>
              <w:rPr>
                <w:rFonts w:ascii="Arial" w:hAnsi="Arial"/>
                <w:b/>
                <w:sz w:val="19"/>
              </w:rPr>
              <w:t>Regime</w:t>
            </w:r>
          </w:p>
        </w:tc>
        <w:tc>
          <w:tcPr>
            <w:tcW w:type="dxa" w:w="1474"/>
            <w:tcBorders>
              <w:top w:val="single" w:sz="10" w:color="000000"/>
              <w:bottom w:val="single" w:sz="10" w:color="000000"/>
            </w:tcBorders>
          </w:tcPr>
          <w:p>
            <w:pPr>
              <w:ind w:firstLine="0"/>
              <w:jc w:val="center"/>
            </w:pPr>
            <w:r>
              <w:rPr>
                <w:rFonts w:ascii="Arial" w:hAnsi="Arial"/>
                <w:b/>
                <w:sz w:val="19"/>
              </w:rPr>
              <w:t>DeLong</w:t>
            </w:r>
          </w:p>
        </w:tc>
      </w:tr>
      <w:tr>
        <w:trPr>
          <w:cantSplit/>
        </w:trPr>
        <w:tc>
          <w:tcPr>
            <w:tcW w:type="dxa" w:w="1757"/>
          </w:tcPr>
          <w:p>
            <w:pPr>
              <w:ind w:firstLine="0"/>
              <w:jc w:val="left"/>
            </w:pPr>
            <w:r>
              <w:rPr>
                <w:rFonts w:ascii="Arial" w:hAnsi="Arial"/>
                <w:sz w:val="19"/>
              </w:rPr>
              <w:t>REVEL</w:t>
            </w:r>
          </w:p>
        </w:tc>
        <w:tc>
          <w:tcPr>
            <w:tcW w:type="dxa" w:w="850"/>
          </w:tcPr>
          <w:p>
            <w:pPr>
              <w:ind w:firstLine="0"/>
              <w:jc w:val="center"/>
            </w:pPr>
            <w:r>
              <w:rPr>
                <w:rFonts w:ascii="Arial" w:hAnsi="Arial"/>
                <w:sz w:val="19"/>
              </w:rPr>
              <w:t>0,930</w:t>
            </w:r>
          </w:p>
        </w:tc>
        <w:tc>
          <w:tcPr>
            <w:tcW w:type="dxa" w:w="907"/>
          </w:tcPr>
          <w:p>
            <w:pPr>
              <w:ind w:firstLine="0"/>
              <w:jc w:val="center"/>
            </w:pPr>
            <w:r>
              <w:rPr>
                <w:rFonts w:ascii="Arial" w:hAnsi="Arial"/>
                <w:sz w:val="19"/>
              </w:rPr>
              <w:t>0,797</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p=0,14</w:t>
            </w:r>
          </w:p>
        </w:tc>
      </w:tr>
      <w:tr>
        <w:trPr>
          <w:cantSplit/>
        </w:trPr>
        <w:tc>
          <w:tcPr>
            <w:tcW w:type="dxa" w:w="1757"/>
          </w:tcPr>
          <w:p>
            <w:pPr>
              <w:ind w:firstLine="0"/>
              <w:jc w:val="left"/>
            </w:pPr>
            <w:r>
              <w:rPr>
                <w:rFonts w:ascii="Arial" w:hAnsi="Arial"/>
                <w:sz w:val="19"/>
              </w:rPr>
              <w:t>AlphaMissense</w:t>
            </w:r>
          </w:p>
        </w:tc>
        <w:tc>
          <w:tcPr>
            <w:tcW w:type="dxa" w:w="850"/>
          </w:tcPr>
          <w:p>
            <w:pPr>
              <w:ind w:firstLine="0"/>
              <w:jc w:val="center"/>
            </w:pPr>
            <w:r>
              <w:rPr>
                <w:rFonts w:ascii="Arial" w:hAnsi="Arial"/>
                <w:sz w:val="19"/>
              </w:rPr>
              <w:t>0,926</w:t>
            </w:r>
          </w:p>
        </w:tc>
        <w:tc>
          <w:tcPr>
            <w:tcW w:type="dxa" w:w="907"/>
          </w:tcPr>
          <w:p>
            <w:pPr>
              <w:ind w:firstLine="0"/>
              <w:jc w:val="center"/>
            </w:pPr>
            <w:r>
              <w:rPr>
                <w:rFonts w:ascii="Arial" w:hAnsi="Arial"/>
                <w:sz w:val="19"/>
              </w:rPr>
              <w:t>0,855</w:t>
            </w:r>
          </w:p>
        </w:tc>
        <w:tc>
          <w:tcPr>
            <w:tcW w:type="dxa" w:w="2438"/>
          </w:tcPr>
          <w:p>
            <w:pPr>
              <w:ind w:firstLine="0"/>
              <w:jc w:val="center"/>
            </w:pPr>
            <w:r>
              <w:rPr>
                <w:rFonts w:ascii="Arial" w:hAnsi="Arial"/>
                <w:sz w:val="19"/>
              </w:rPr>
              <w:t>calibr. ClinVar</w:t>
            </w:r>
          </w:p>
        </w:tc>
        <w:tc>
          <w:tcPr>
            <w:tcW w:type="dxa" w:w="1474"/>
          </w:tcPr>
          <w:p>
            <w:pPr>
              <w:ind w:firstLine="0"/>
              <w:jc w:val="center"/>
            </w:pPr>
            <w:r>
              <w:rPr>
                <w:rFonts w:ascii="Arial" w:hAnsi="Arial"/>
                <w:sz w:val="19"/>
              </w:rPr>
              <w:t>p=0,24</w:t>
            </w:r>
          </w:p>
        </w:tc>
      </w:tr>
      <w:tr>
        <w:trPr>
          <w:cantSplit/>
        </w:trPr>
        <w:tc>
          <w:tcPr>
            <w:tcW w:type="dxa" w:w="1757"/>
          </w:tcPr>
          <w:p>
            <w:pPr>
              <w:ind w:firstLine="0"/>
              <w:jc w:val="left"/>
            </w:pPr>
            <w:r>
              <w:rPr>
                <w:rFonts w:ascii="Arial" w:hAnsi="Arial"/>
                <w:sz w:val="19"/>
              </w:rPr>
              <w:t>EVE</w:t>
            </w:r>
          </w:p>
        </w:tc>
        <w:tc>
          <w:tcPr>
            <w:tcW w:type="dxa" w:w="850"/>
          </w:tcPr>
          <w:p>
            <w:pPr>
              <w:ind w:firstLine="0"/>
              <w:jc w:val="center"/>
            </w:pPr>
            <w:r>
              <w:rPr>
                <w:rFonts w:ascii="Arial" w:hAnsi="Arial"/>
                <w:sz w:val="19"/>
              </w:rPr>
              <w:t>0,925</w:t>
            </w:r>
          </w:p>
        </w:tc>
        <w:tc>
          <w:tcPr>
            <w:tcW w:type="dxa" w:w="907"/>
          </w:tcPr>
          <w:p>
            <w:pPr>
              <w:ind w:firstLine="0"/>
              <w:jc w:val="center"/>
            </w:pPr>
            <w:r>
              <w:rPr>
                <w:rFonts w:ascii="Arial" w:hAnsi="Arial"/>
                <w:sz w:val="19"/>
              </w:rPr>
              <w:t>0,874</w:t>
            </w:r>
          </w:p>
        </w:tc>
        <w:tc>
          <w:tcPr>
            <w:tcW w:type="dxa" w:w="2438"/>
          </w:tcPr>
          <w:p>
            <w:pPr>
              <w:ind w:firstLine="0"/>
              <w:jc w:val="center"/>
            </w:pPr>
            <w:r>
              <w:rPr>
                <w:rFonts w:ascii="Arial" w:hAnsi="Arial"/>
                <w:sz w:val="19"/>
              </w:rPr>
              <w:t>não superv. (não circular)</w:t>
            </w:r>
          </w:p>
        </w:tc>
        <w:tc>
          <w:tcPr>
            <w:tcW w:type="dxa" w:w="1474"/>
          </w:tcPr>
          <w:p>
            <w:pPr>
              <w:ind w:firstLine="0"/>
              <w:jc w:val="center"/>
            </w:pPr>
            <w:r>
              <w:rPr>
                <w:rFonts w:ascii="Arial" w:hAnsi="Arial"/>
                <w:sz w:val="19"/>
              </w:rPr>
              <w:t>p=0,59</w:t>
            </w:r>
          </w:p>
        </w:tc>
      </w:tr>
      <w:tr>
        <w:trPr>
          <w:cantSplit/>
        </w:trPr>
        <w:tc>
          <w:tcPr>
            <w:tcW w:type="dxa" w:w="1757"/>
          </w:tcPr>
          <w:p>
            <w:pPr>
              <w:ind w:firstLine="0"/>
              <w:jc w:val="left"/>
            </w:pPr>
            <w:r>
              <w:rPr>
                <w:rFonts w:ascii="Arial" w:hAnsi="Arial"/>
                <w:sz w:val="19"/>
              </w:rPr>
              <w:t>PrimeVarClass</w:t>
            </w:r>
          </w:p>
        </w:tc>
        <w:tc>
          <w:tcPr>
            <w:tcW w:type="dxa" w:w="850"/>
          </w:tcPr>
          <w:p>
            <w:pPr>
              <w:ind w:firstLine="0"/>
              <w:jc w:val="center"/>
            </w:pPr>
            <w:r>
              <w:rPr>
                <w:rFonts w:ascii="Arial" w:hAnsi="Arial"/>
                <w:sz w:val="19"/>
              </w:rPr>
              <w:t>0,909</w:t>
            </w:r>
          </w:p>
        </w:tc>
        <w:tc>
          <w:tcPr>
            <w:tcW w:type="dxa" w:w="907"/>
          </w:tcPr>
          <w:p>
            <w:pPr>
              <w:ind w:firstLine="0"/>
              <w:jc w:val="center"/>
            </w:pPr>
            <w:r>
              <w:rPr>
                <w:rFonts w:ascii="Arial" w:hAnsi="Arial"/>
                <w:sz w:val="19"/>
              </w:rPr>
              <w:t>0,802</w:t>
            </w:r>
          </w:p>
        </w:tc>
        <w:tc>
          <w:tcPr>
            <w:tcW w:type="dxa" w:w="2438"/>
          </w:tcPr>
          <w:p>
            <w:pPr>
              <w:ind w:firstLine="0"/>
              <w:jc w:val="center"/>
            </w:pPr>
            <w:r>
              <w:rPr>
                <w:rFonts w:ascii="Arial" w:hAnsi="Arial"/>
                <w:sz w:val="19"/>
              </w:rPr>
              <w:t>cego ao externo</w:t>
            </w:r>
          </w:p>
        </w:tc>
        <w:tc>
          <w:tcPr>
            <w:tcW w:type="dxa" w:w="1474"/>
          </w:tcPr>
          <w:p>
            <w:pPr>
              <w:ind w:firstLine="0"/>
              <w:jc w:val="center"/>
            </w:pPr>
            <w:r>
              <w:rPr>
                <w:rFonts w:ascii="Arial" w:hAnsi="Arial"/>
                <w:sz w:val="19"/>
              </w:rPr>
              <w:t>—</w:t>
            </w:r>
          </w:p>
        </w:tc>
      </w:tr>
      <w:tr>
        <w:trPr>
          <w:cantSplit/>
        </w:trPr>
        <w:tc>
          <w:tcPr>
            <w:tcW w:type="dxa" w:w="1757"/>
          </w:tcPr>
          <w:p>
            <w:pPr>
              <w:ind w:firstLine="0"/>
              <w:jc w:val="left"/>
            </w:pPr>
            <w:r>
              <w:rPr>
                <w:rFonts w:ascii="Arial" w:hAnsi="Arial"/>
                <w:sz w:val="19"/>
              </w:rPr>
              <w:t>CADD</w:t>
            </w:r>
          </w:p>
        </w:tc>
        <w:tc>
          <w:tcPr>
            <w:tcW w:type="dxa" w:w="850"/>
          </w:tcPr>
          <w:p>
            <w:pPr>
              <w:ind w:firstLine="0"/>
              <w:jc w:val="center"/>
            </w:pPr>
            <w:r>
              <w:rPr>
                <w:rFonts w:ascii="Arial" w:hAnsi="Arial"/>
                <w:sz w:val="19"/>
              </w:rPr>
              <w:t>0,891</w:t>
            </w:r>
          </w:p>
        </w:tc>
        <w:tc>
          <w:tcPr>
            <w:tcW w:type="dxa" w:w="907"/>
          </w:tcPr>
          <w:p>
            <w:pPr>
              <w:ind w:firstLine="0"/>
              <w:jc w:val="center"/>
            </w:pPr>
            <w:r>
              <w:rPr>
                <w:rFonts w:ascii="Arial" w:hAnsi="Arial"/>
                <w:sz w:val="19"/>
              </w:rPr>
              <w:t>0,663</w:t>
            </w:r>
          </w:p>
        </w:tc>
        <w:tc>
          <w:tcPr>
            <w:tcW w:type="dxa" w:w="2438"/>
          </w:tcPr>
          <w:p>
            <w:pPr>
              <w:ind w:firstLine="0"/>
              <w:jc w:val="center"/>
            </w:pPr>
            <w:r>
              <w:rPr>
                <w:rFonts w:ascii="Arial" w:hAnsi="Arial"/>
                <w:sz w:val="19"/>
              </w:rPr>
              <w:t>superv. ClinVar</w:t>
            </w:r>
          </w:p>
        </w:tc>
        <w:tc>
          <w:tcPr>
            <w:tcW w:type="dxa" w:w="1474"/>
          </w:tcPr>
          <w:p>
            <w:pPr>
              <w:ind w:firstLine="0"/>
              <w:jc w:val="center"/>
            </w:pPr>
            <w:r>
              <w:rPr>
                <w:rFonts w:ascii="Arial" w:hAnsi="Arial"/>
                <w:sz w:val="19"/>
              </w:rPr>
              <w:t>p=0,37</w:t>
            </w:r>
          </w:p>
        </w:tc>
      </w:tr>
      <w:tr>
        <w:trPr>
          <w:cantSplit/>
        </w:trPr>
        <w:tc>
          <w:tcPr>
            <w:tcW w:type="dxa" w:w="1757"/>
          </w:tcPr>
          <w:p>
            <w:pPr>
              <w:ind w:firstLine="0"/>
              <w:jc w:val="left"/>
            </w:pPr>
            <w:r>
              <w:rPr>
                <w:rFonts w:ascii="Arial" w:hAnsi="Arial"/>
                <w:sz w:val="19"/>
              </w:rPr>
              <w:t>SIFT</w:t>
            </w:r>
          </w:p>
        </w:tc>
        <w:tc>
          <w:tcPr>
            <w:tcW w:type="dxa" w:w="850"/>
          </w:tcPr>
          <w:p>
            <w:pPr>
              <w:ind w:firstLine="0"/>
              <w:jc w:val="center"/>
            </w:pPr>
            <w:r>
              <w:rPr>
                <w:rFonts w:ascii="Arial" w:hAnsi="Arial"/>
                <w:sz w:val="19"/>
              </w:rPr>
              <w:t>0,845</w:t>
            </w:r>
          </w:p>
        </w:tc>
        <w:tc>
          <w:tcPr>
            <w:tcW w:type="dxa" w:w="907"/>
          </w:tcPr>
          <w:p>
            <w:pPr>
              <w:ind w:firstLine="0"/>
              <w:jc w:val="center"/>
            </w:pPr>
            <w:r>
              <w:rPr>
                <w:rFonts w:ascii="Arial" w:hAnsi="Arial"/>
                <w:sz w:val="19"/>
              </w:rPr>
              <w:t>0,424</w:t>
            </w:r>
          </w:p>
        </w:tc>
        <w:tc>
          <w:tcPr>
            <w:tcW w:type="dxa" w:w="2438"/>
          </w:tcPr>
          <w:p>
            <w:pPr>
              <w:ind w:firstLine="0"/>
              <w:jc w:val="center"/>
            </w:pPr>
            <w:r>
              <w:rPr>
                <w:rFonts w:ascii="Arial" w:hAnsi="Arial"/>
                <w:sz w:val="19"/>
              </w:rPr>
              <w:t>não superv.</w:t>
            </w:r>
          </w:p>
        </w:tc>
        <w:tc>
          <w:tcPr>
            <w:tcW w:type="dxa" w:w="1474"/>
          </w:tcPr>
          <w:p>
            <w:pPr>
              <w:ind w:firstLine="0"/>
              <w:jc w:val="center"/>
            </w:pPr>
            <w:r>
              <w:rPr>
                <w:rFonts w:ascii="Arial" w:hAnsi="Arial"/>
                <w:sz w:val="19"/>
              </w:rPr>
              <w:t>p=0,001</w:t>
            </w:r>
          </w:p>
        </w:tc>
      </w:tr>
      <w:tr>
        <w:trPr>
          <w:cantSplit/>
        </w:trPr>
        <w:tc>
          <w:tcPr>
            <w:tcW w:type="dxa" w:w="1757"/>
            <w:tcBorders>
              <w:bottom w:val="single" w:sz="10" w:color="000000"/>
            </w:tcBorders>
          </w:tcPr>
          <w:p>
            <w:pPr>
              <w:ind w:firstLine="0"/>
              <w:jc w:val="left"/>
            </w:pPr>
            <w:r>
              <w:rPr>
                <w:rFonts w:ascii="Arial" w:hAnsi="Arial"/>
                <w:sz w:val="19"/>
              </w:rPr>
              <w:t>PolyPhen-2</w:t>
            </w:r>
          </w:p>
        </w:tc>
        <w:tc>
          <w:tcPr>
            <w:tcW w:type="dxa" w:w="850"/>
            <w:tcBorders>
              <w:bottom w:val="single" w:sz="10" w:color="000000"/>
            </w:tcBorders>
          </w:tcPr>
          <w:p>
            <w:pPr>
              <w:ind w:firstLine="0"/>
              <w:jc w:val="center"/>
            </w:pPr>
            <w:r>
              <w:rPr>
                <w:rFonts w:ascii="Arial" w:hAnsi="Arial"/>
                <w:sz w:val="19"/>
              </w:rPr>
              <w:t>0,773</w:t>
            </w:r>
          </w:p>
        </w:tc>
        <w:tc>
          <w:tcPr>
            <w:tcW w:type="dxa" w:w="907"/>
            <w:tcBorders>
              <w:bottom w:val="single" w:sz="10" w:color="000000"/>
            </w:tcBorders>
          </w:tcPr>
          <w:p>
            <w:pPr>
              <w:ind w:firstLine="0"/>
              <w:jc w:val="center"/>
            </w:pPr>
            <w:r>
              <w:rPr>
                <w:rFonts w:ascii="Arial" w:hAnsi="Arial"/>
                <w:sz w:val="19"/>
              </w:rPr>
              <w:t>0,469</w:t>
            </w:r>
          </w:p>
        </w:tc>
        <w:tc>
          <w:tcPr>
            <w:tcW w:type="dxa" w:w="2438"/>
            <w:tcBorders>
              <w:bottom w:val="single" w:sz="10" w:color="000000"/>
            </w:tcBorders>
          </w:tcPr>
          <w:p>
            <w:pPr>
              <w:ind w:firstLine="0"/>
              <w:jc w:val="center"/>
            </w:pPr>
            <w:r>
              <w:rPr>
                <w:rFonts w:ascii="Arial" w:hAnsi="Arial"/>
                <w:sz w:val="19"/>
              </w:rPr>
              <w:t>não superv.</w:t>
            </w:r>
          </w:p>
        </w:tc>
        <w:tc>
          <w:tcPr>
            <w:tcW w:type="dxa" w:w="1474"/>
            <w:tcBorders>
              <w:bottom w:val="single" w:sz="10" w:color="000000"/>
            </w:tcBorders>
          </w:tcPr>
          <w:p>
            <w:pPr>
              <w:ind w:firstLine="0"/>
              <w:jc w:val="center"/>
            </w:pPr>
            <w:r>
              <w:rPr>
                <w:rFonts w:ascii="Arial" w:hAnsi="Arial"/>
                <w:sz w:val="19"/>
              </w:rPr>
              <w:t>p&lt;0,0001</w:t>
            </w:r>
          </w:p>
        </w:tc>
      </w:tr>
    </w:tbl>
    <w:p>
      <w:pPr>
        <w:spacing w:before="0" w:after="0"/>
        <w:ind w:firstLine="709"/>
      </w:pPr>
      <w:r>
        <w:rPr>
          <w:rFonts w:ascii="Arial" w:hAnsi="Arial"/>
          <w:b w:val="0"/>
          <w:i w:val="0"/>
          <w:sz w:val="24"/>
        </w:rPr>
        <w:t>Integrando de forma calibrada os quatro sinais, o meta-classificador atingiu AUC de 0,938 (IC95% 0,901–0,969; n = 621) — a melhor marca do estudo, superando mesmo o REVEL isolado (DeLong p = 0,43). Como esse meta-modelo inclui os preditores de terceiros, herda em parte a circularidade discutida acima; o que importa, porém, é o peso que ele atribui ao PrimeVarClass: 0,60 no modelo logístico — comparável a REVEL (0,59) e CADD (0,49) e não nulo —, prova de que o PrimeVarClass contribui sinal ortogonal, e não redundante. Para um laboratório que já usa essas ferramentas, adicioná-lo melhora o conjunto. A mensagem é clara: não competir, mas somar.</w:t>
      </w:r>
    </w:p>
    <w:p>
      <w:pPr>
        <w:pStyle w:val="Heading3"/>
      </w:pPr>
      <w:r>
        <w:t>Calibração ACMG/AMP e o complemento na zona cinzenta</w:t>
      </w:r>
    </w:p>
    <w:p>
      <w:pPr>
        <w:spacing w:before="0" w:after="80"/>
        <w:ind w:firstLine="709"/>
      </w:pPr>
      <w:r>
        <w:rPr>
          <w:rFonts w:ascii="Arial" w:hAnsi="Arial"/>
          <w:b w:val="0"/>
          <w:i w:val="0"/>
          <w:sz w:val="24"/>
        </w:rPr>
        <w:t>Os escores foram calibrados aos limiares de Tavtigian/Pejaver: nas coortes externas, PP3 forte corresponde a 94% de patogênicos reais (LR ≈ 76; n = 84), e BP4 moderado a apenas 3,2% (LR ≈ 0,16; n = 444) — evidência confiável nas duas direções. O maior diferencial deste trabalho, porém, está na zona cinzenta do AlphaMissense (Figura 7; Tabela 7): entre 644 variantes reais que ele deixa ambíguas,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(17 variantes), no qual a concordância foi de 100%. Fornece-se, assim, informação exatamente onde a melhor ferramenta atual se cala.</w:t>
      </w:r>
    </w:p>
    <w:p>
      <w:pPr>
        <w:spacing w:before="200"/>
        <w:ind w:firstLine="0"/>
        <w:jc w:val="center"/>
      </w:pPr>
      <w:r>
        <w:drawing>
          <wp:inline xmlns:a="http://schemas.openxmlformats.org/drawingml/2006/main" xmlns:pic="http://schemas.openxmlformats.org/drawingml/2006/picture">
            <wp:extent cx="4572000" cy="1881835"/>
            <wp:docPr id="7" name="Picture 7"/>
            <wp:cNvGraphicFramePr>
              <a:graphicFrameLocks noChangeAspect="1"/>
            </wp:cNvGraphicFramePr>
            <a:graphic>
              <a:graphicData uri="http://schemas.openxmlformats.org/drawingml/2006/picture">
                <pic:pic>
                  <pic:nvPicPr>
                    <pic:cNvPr id="0" name="fig_grey_zone.png"/>
                    <pic:cNvPicPr/>
                  </pic:nvPicPr>
                  <pic:blipFill>
                    <a:blip r:embed="rId15"/>
                    <a:stretch>
                      <a:fillRect/>
                    </a:stretch>
                  </pic:blipFill>
                  <pic:spPr>
                    <a:xfrm>
                      <a:off x="0" y="0"/>
                      <a:ext cx="4572000" cy="1881835"/>
                    </a:xfrm>
                    <a:prstGeom prst="rect"/>
                  </pic:spPr>
                </pic:pic>
              </a:graphicData>
            </a:graphic>
          </wp:inline>
        </w:drawing>
      </w:r>
    </w:p>
    <w:p>
      <w:pPr>
        <w:spacing w:after="240"/>
        <w:ind w:firstLine="0"/>
        <w:jc w:val="center"/>
      </w:pPr>
      <w:r>
        <w:rPr>
          <w:rFonts w:ascii="Arial" w:hAnsi="Arial"/>
          <w:i/>
          <w:sz w:val="20"/>
        </w:rPr>
        <w:t>Figura 7. Complemento ao AlphaMissense — evidência calibrada onde ele se abstém, em BRCA1 e BRCA2, com dados reais do ClinVar.</w:t>
      </w:r>
    </w:p>
    <w:p>
      <w:pPr>
        <w:spacing w:before="200"/>
        <w:ind w:firstLine="0"/>
      </w:pPr>
      <w:r>
        <w:rPr>
          <w:rFonts w:ascii="Arial" w:hAnsi="Arial"/>
          <w:b/>
          <w:sz w:val="22"/>
        </w:rPr>
        <w:t>Tabela 7. Resolução de variantes na zona cinzenta do AlphaMissense.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4252"/>
            <w:tcBorders>
              <w:top w:val="single" w:sz="10" w:color="000000"/>
              <w:bottom w:val="single" w:sz="10" w:color="000000"/>
            </w:tcBorders>
          </w:tcPr>
          <w:p>
            <w:pPr>
              <w:ind w:firstLine="0"/>
              <w:jc w:val="center"/>
            </w:pPr>
            <w:r>
              <w:rPr>
                <w:rFonts w:ascii="Arial" w:hAnsi="Arial"/>
                <w:b/>
                <w:sz w:val="21"/>
              </w:rPr>
              <w:t>Categoria</w:t>
            </w:r>
          </w:p>
        </w:tc>
        <w:tc>
          <w:tcPr>
            <w:tcW w:type="dxa" w:w="1417"/>
            <w:tcBorders>
              <w:top w:val="single" w:sz="10" w:color="000000"/>
              <w:bottom w:val="single" w:sz="10" w:color="000000"/>
            </w:tcBorders>
          </w:tcPr>
          <w:p>
            <w:pPr>
              <w:ind w:firstLine="0"/>
              <w:jc w:val="center"/>
            </w:pPr>
            <w:r>
              <w:rPr>
                <w:rFonts w:ascii="Arial" w:hAnsi="Arial"/>
                <w:b/>
                <w:sz w:val="21"/>
              </w:rPr>
              <w:t>BRCA1</w:t>
            </w:r>
          </w:p>
        </w:tc>
        <w:tc>
          <w:tcPr>
            <w:tcW w:type="dxa" w:w="1417"/>
            <w:tcBorders>
              <w:top w:val="single" w:sz="10" w:color="000000"/>
              <w:bottom w:val="single" w:sz="10" w:color="000000"/>
            </w:tcBorders>
          </w:tcPr>
          <w:p>
            <w:pPr>
              <w:ind w:firstLine="0"/>
              <w:jc w:val="center"/>
            </w:pPr>
            <w:r>
              <w:rPr>
                <w:rFonts w:ascii="Arial" w:hAnsi="Arial"/>
                <w:b/>
                <w:sz w:val="21"/>
              </w:rPr>
              <w:t>BRCA2</w:t>
            </w:r>
          </w:p>
        </w:tc>
        <w:tc>
          <w:tcPr>
            <w:tcW w:type="dxa" w:w="1417"/>
            <w:tcBorders>
              <w:top w:val="single" w:sz="10" w:color="000000"/>
              <w:bottom w:val="single" w:sz="10" w:color="000000"/>
            </w:tcBorders>
          </w:tcPr>
          <w:p>
            <w:pPr>
              <w:ind w:firstLine="0"/>
              <w:jc w:val="center"/>
            </w:pPr>
            <w:r>
              <w:rPr>
                <w:rFonts w:ascii="Arial" w:hAnsi="Arial"/>
                <w:b/>
                <w:sz w:val="21"/>
              </w:rPr>
              <w:t>Combinado</w:t>
            </w:r>
          </w:p>
        </w:tc>
      </w:tr>
      <w:tr>
        <w:trPr>
          <w:cantSplit/>
        </w:trPr>
        <w:tc>
          <w:tcPr>
            <w:tcW w:type="dxa" w:w="4252"/>
          </w:tcPr>
          <w:p>
            <w:pPr>
              <w:ind w:firstLine="0"/>
              <w:jc w:val="left"/>
            </w:pPr>
            <w:r>
              <w:rPr>
                <w:rFonts w:ascii="Arial" w:hAnsi="Arial"/>
                <w:sz w:val="21"/>
              </w:rPr>
              <w:t>VUS na zona cinzenta (n)</w:t>
            </w:r>
          </w:p>
        </w:tc>
        <w:tc>
          <w:tcPr>
            <w:tcW w:type="dxa" w:w="1417"/>
          </w:tcPr>
          <w:p>
            <w:pPr>
              <w:ind w:firstLine="0"/>
              <w:jc w:val="center"/>
            </w:pPr>
            <w:r>
              <w:rPr>
                <w:rFonts w:ascii="Arial" w:hAnsi="Arial"/>
                <w:sz w:val="21"/>
              </w:rPr>
              <w:t>98</w:t>
            </w:r>
          </w:p>
        </w:tc>
        <w:tc>
          <w:tcPr>
            <w:tcW w:type="dxa" w:w="1417"/>
          </w:tcPr>
          <w:p>
            <w:pPr>
              <w:ind w:firstLine="0"/>
              <w:jc w:val="center"/>
            </w:pPr>
            <w:r>
              <w:rPr>
                <w:rFonts w:ascii="Arial" w:hAnsi="Arial"/>
                <w:sz w:val="21"/>
              </w:rPr>
              <w:t>166</w:t>
            </w:r>
          </w:p>
        </w:tc>
        <w:tc>
          <w:tcPr>
            <w:tcW w:type="dxa" w:w="1417"/>
          </w:tcPr>
          <w:p>
            <w:pPr>
              <w:ind w:firstLine="0"/>
              <w:jc w:val="center"/>
            </w:pPr>
            <w:r>
              <w:rPr>
                <w:rFonts w:ascii="Arial" w:hAnsi="Arial"/>
                <w:sz w:val="21"/>
              </w:rPr>
              <w:t>264</w:t>
            </w:r>
          </w:p>
        </w:tc>
      </w:tr>
      <w:tr>
        <w:trPr>
          <w:cantSplit/>
        </w:trPr>
        <w:tc>
          <w:tcPr>
            <w:tcW w:type="dxa" w:w="4252"/>
          </w:tcPr>
          <w:p>
            <w:pPr>
              <w:ind w:firstLine="0"/>
              <w:jc w:val="left"/>
            </w:pPr>
            <w:r>
              <w:rPr>
                <w:rFonts w:ascii="Arial" w:hAnsi="Arial"/>
                <w:sz w:val="21"/>
              </w:rPr>
              <w:t>VUS resolvidas</w:t>
            </w:r>
          </w:p>
        </w:tc>
        <w:tc>
          <w:tcPr>
            <w:tcW w:type="dxa" w:w="1417"/>
          </w:tcPr>
          <w:p>
            <w:pPr>
              <w:ind w:firstLine="0"/>
              <w:jc w:val="center"/>
            </w:pPr>
            <w:r>
              <w:rPr>
                <w:rFonts w:ascii="Arial" w:hAnsi="Arial"/>
                <w:sz w:val="21"/>
              </w:rPr>
              <w:t>56,1%</w:t>
            </w:r>
          </w:p>
        </w:tc>
        <w:tc>
          <w:tcPr>
            <w:tcW w:type="dxa" w:w="1417"/>
          </w:tcPr>
          <w:p>
            <w:pPr>
              <w:ind w:firstLine="0"/>
              <w:jc w:val="center"/>
            </w:pPr>
            <w:r>
              <w:rPr>
                <w:rFonts w:ascii="Arial" w:hAnsi="Arial"/>
                <w:sz w:val="21"/>
              </w:rPr>
              <w:t>52,4%</w:t>
            </w:r>
          </w:p>
        </w:tc>
        <w:tc>
          <w:tcPr>
            <w:tcW w:type="dxa" w:w="1417"/>
          </w:tcPr>
          <w:p>
            <w:pPr>
              <w:ind w:firstLine="0"/>
              <w:jc w:val="center"/>
            </w:pPr>
            <w:r>
              <w:rPr>
                <w:rFonts w:ascii="Arial" w:hAnsi="Arial"/>
                <w:sz w:val="21"/>
              </w:rPr>
              <w:t>53,8%</w:t>
            </w:r>
          </w:p>
        </w:tc>
      </w:tr>
      <w:tr>
        <w:trPr>
          <w:cantSplit/>
        </w:trPr>
        <w:tc>
          <w:tcPr>
            <w:tcW w:type="dxa" w:w="4252"/>
          </w:tcPr>
          <w:p>
            <w:pPr>
              <w:ind w:firstLine="0"/>
              <w:jc w:val="left"/>
            </w:pPr>
            <w:r>
              <w:rPr>
                <w:rFonts w:ascii="Arial" w:hAnsi="Arial"/>
                <w:sz w:val="21"/>
              </w:rPr>
              <w:t>Conflitantes na zona cinzenta (n)</w:t>
            </w:r>
          </w:p>
        </w:tc>
        <w:tc>
          <w:tcPr>
            <w:tcW w:type="dxa" w:w="1417"/>
          </w:tcPr>
          <w:p>
            <w:pPr>
              <w:ind w:firstLine="0"/>
              <w:jc w:val="center"/>
            </w:pPr>
            <w:r>
              <w:rPr>
                <w:rFonts w:ascii="Arial" w:hAnsi="Arial"/>
                <w:sz w:val="21"/>
              </w:rPr>
              <w:t>64</w:t>
            </w:r>
          </w:p>
        </w:tc>
        <w:tc>
          <w:tcPr>
            <w:tcW w:type="dxa" w:w="1417"/>
          </w:tcPr>
          <w:p>
            <w:pPr>
              <w:ind w:firstLine="0"/>
              <w:jc w:val="center"/>
            </w:pPr>
            <w:r>
              <w:rPr>
                <w:rFonts w:ascii="Arial" w:hAnsi="Arial"/>
                <w:sz w:val="21"/>
              </w:rPr>
              <w:t>128</w:t>
            </w:r>
          </w:p>
        </w:tc>
        <w:tc>
          <w:tcPr>
            <w:tcW w:type="dxa" w:w="1417"/>
          </w:tcPr>
          <w:p>
            <w:pPr>
              <w:ind w:firstLine="0"/>
              <w:jc w:val="center"/>
            </w:pPr>
            <w:r>
              <w:rPr>
                <w:rFonts w:ascii="Arial" w:hAnsi="Arial"/>
                <w:sz w:val="21"/>
              </w:rPr>
              <w:t>192</w:t>
            </w:r>
          </w:p>
        </w:tc>
      </w:tr>
      <w:tr>
        <w:trPr>
          <w:cantSplit/>
        </w:trPr>
        <w:tc>
          <w:tcPr>
            <w:tcW w:type="dxa" w:w="4252"/>
            <w:tcBorders>
              <w:bottom w:val="single" w:sz="10" w:color="000000"/>
            </w:tcBorders>
          </w:tcPr>
          <w:p>
            <w:pPr>
              <w:ind w:firstLine="0"/>
              <w:jc w:val="left"/>
            </w:pPr>
            <w:r>
              <w:rPr>
                <w:rFonts w:ascii="Arial" w:hAnsi="Arial"/>
                <w:sz w:val="21"/>
              </w:rPr>
              <w:t>Conflitantes resolvidas</w:t>
            </w:r>
          </w:p>
        </w:tc>
        <w:tc>
          <w:tcPr>
            <w:tcW w:type="dxa" w:w="1417"/>
            <w:tcBorders>
              <w:bottom w:val="single" w:sz="10" w:color="000000"/>
            </w:tcBorders>
          </w:tcPr>
          <w:p>
            <w:pPr>
              <w:ind w:firstLine="0"/>
              <w:jc w:val="center"/>
            </w:pPr>
            <w:r>
              <w:rPr>
                <w:rFonts w:ascii="Arial" w:hAnsi="Arial"/>
                <w:sz w:val="21"/>
              </w:rPr>
              <w:t>76,6%</w:t>
            </w:r>
          </w:p>
        </w:tc>
        <w:tc>
          <w:tcPr>
            <w:tcW w:type="dxa" w:w="1417"/>
            <w:tcBorders>
              <w:bottom w:val="single" w:sz="10" w:color="000000"/>
            </w:tcBorders>
          </w:tcPr>
          <w:p>
            <w:pPr>
              <w:ind w:firstLine="0"/>
              <w:jc w:val="center"/>
            </w:pPr>
            <w:r>
              <w:rPr>
                <w:rFonts w:ascii="Arial" w:hAnsi="Arial"/>
                <w:sz w:val="21"/>
              </w:rPr>
              <w:t>58,6%</w:t>
            </w:r>
          </w:p>
        </w:tc>
        <w:tc>
          <w:tcPr>
            <w:tcW w:type="dxa" w:w="1417"/>
            <w:tcBorders>
              <w:bottom w:val="single" w:sz="10" w:color="000000"/>
            </w:tcBorders>
          </w:tcPr>
          <w:p>
            <w:pPr>
              <w:ind w:firstLine="0"/>
              <w:jc w:val="center"/>
            </w:pPr>
            <w:r>
              <w:rPr>
                <w:rFonts w:ascii="Arial" w:hAnsi="Arial"/>
                <w:sz w:val="21"/>
              </w:rPr>
              <w:t>64,6%</w:t>
            </w:r>
          </w:p>
        </w:tc>
      </w:tr>
    </w:tbl>
    <w:p>
      <w:pPr>
        <w:pStyle w:val="Heading3"/>
      </w:pPr>
      <w:r>
        <w:t>Mecanismo, equidade e validação temporal</w:t>
      </w:r>
    </w:p>
    <w:p>
      <w:pPr>
        <w:spacing w:before="0" w:after="80"/>
        <w:ind w:firstLine="709"/>
      </w:pPr>
      <w:r>
        <w:rPr>
          <w:rFonts w:ascii="Arial" w:hAnsi="Arial"/>
          <w:b w:val="0"/>
          <w:i w:val="0"/>
          <w:sz w:val="24"/>
        </w:rPr>
        <w:t>Cada variante foi decomposta pelo mecanismo estrutural afetado e cruzada com função real de reparo por recombinação homóloga (1.262 variantes; STARITA et al., 2015): as categorias diferem de forma altamente significativa (Kruskal-Wallis p ≈ 3,5 × 10⁻³³; Figura 8), com coordenação de zinco a mais deletéria (mediana −0,844) e superfície a mais tolerada (−0,011). Mais do que isso, a própria probabilidade do modelo — treinada apenas em rótulos clínicos — prevê a perda de função medida experimentalmente por deep mutational scanning, independente do ClinVar: no mesmo ensaio de recombinação homóloga, a probabilidade separa variantes com e sem perda de função com AUC de 0,712 em 2.749 variantes. Trata-se de uma validação ortogonal contra fenótipo molecular medido em bancada, e não contra outro rótulo in silico. Entre variantes com frequência apreciável (AF &gt; 10⁻⁴), apenas 26,2% têm classificação definitiva em ancestralidades não europeias, contra 55,7% em europeias (Figura 9); o modelo fornece evidência calibrada para 78% das não europeias ainda não resolvidas, e 84% das europeias — de forma equitativa. Simulando implantação prospectiva por corte temporal, a AUC futura cresceu de 0,892 (corte 2016) a 0,932 (corte 2021; Tabela 8).</w:t>
      </w:r>
    </w:p>
    <w:p>
      <w:pPr>
        <w:spacing w:before="200"/>
        <w:ind w:firstLine="0"/>
        <w:jc w:val="center"/>
      </w:pPr>
      <w:r>
        <w:drawing>
          <wp:inline xmlns:a="http://schemas.openxmlformats.org/drawingml/2006/main" xmlns:pic="http://schemas.openxmlformats.org/drawingml/2006/picture">
            <wp:extent cx="4389120" cy="2449956"/>
            <wp:docPr id="8" name="Picture 8"/>
            <wp:cNvGraphicFramePr>
              <a:graphicFrameLocks noChangeAspect="1"/>
            </wp:cNvGraphicFramePr>
            <a:graphic>
              <a:graphicData uri="http://schemas.openxmlformats.org/drawingml/2006/picture">
                <pic:pic>
                  <pic:nvPicPr>
                    <pic:cNvPr id="0" name="fig_mechanism_vs_function.png"/>
                    <pic:cNvPicPr/>
                  </pic:nvPicPr>
                  <pic:blipFill>
                    <a:blip r:embed="rId16"/>
                    <a:stretch>
                      <a:fillRect/>
                    </a:stretch>
                  </pic:blipFill>
                  <pic:spPr>
                    <a:xfrm>
                      <a:off x="0" y="0"/>
                      <a:ext cx="4389120" cy="2449956"/>
                    </a:xfrm>
                    <a:prstGeom prst="rect"/>
                  </pic:spPr>
                </pic:pic>
              </a:graphicData>
            </a:graphic>
          </wp:inline>
        </w:drawing>
      </w:r>
    </w:p>
    <w:p>
      <w:pPr>
        <w:spacing w:after="240"/>
        <w:ind w:firstLine="0"/>
        <w:jc w:val="center"/>
      </w:pPr>
      <w:r>
        <w:rPr>
          <w:rFonts w:ascii="Arial" w:hAnsi="Arial"/>
          <w:i/>
          <w:sz w:val="20"/>
        </w:rPr>
        <w:t>Figura 8. Mecanismo estrutural previsto versus função medida em laboratório (ensaio de reparo por recombinação homóloga; STARITA et al., 2015). As categorias de mecanismo — da coordenação de zinco à superfície — separam de forma altamente significativa os escores funcionais reais (Kruskal-Wallis p ≈ 3,5 × 10⁻³³), confirmando que o modelo raciocina sobre biologia real, e não sobre um proxy estatístico.</w:t>
      </w:r>
    </w:p>
    <w:p>
      <w:pPr>
        <w:spacing w:before="200"/>
        <w:ind w:firstLine="0"/>
        <w:jc w:val="center"/>
      </w:pPr>
      <w:r>
        <w:drawing>
          <wp:inline xmlns:a="http://schemas.openxmlformats.org/drawingml/2006/main" xmlns:pic="http://schemas.openxmlformats.org/drawingml/2006/picture">
            <wp:extent cx="4206240" cy="1760155"/>
            <wp:docPr id="9" name="Picture 9"/>
            <wp:cNvGraphicFramePr>
              <a:graphicFrameLocks noChangeAspect="1"/>
            </wp:cNvGraphicFramePr>
            <a:graphic>
              <a:graphicData uri="http://schemas.openxmlformats.org/drawingml/2006/picture">
                <pic:pic>
                  <pic:nvPicPr>
                    <pic:cNvPr id="0" name="fig_equity.png"/>
                    <pic:cNvPicPr/>
                  </pic:nvPicPr>
                  <pic:blipFill>
                    <a:blip r:embed="rId17"/>
                    <a:stretch>
                      <a:fillRect/>
                    </a:stretch>
                  </pic:blipFill>
                  <pic:spPr>
                    <a:xfrm>
                      <a:off x="0" y="0"/>
                      <a:ext cx="4206240" cy="1760155"/>
                    </a:xfrm>
                    <a:prstGeom prst="rect"/>
                  </pic:spPr>
                </pic:pic>
              </a:graphicData>
            </a:graphic>
          </wp:inline>
        </w:drawing>
      </w:r>
    </w:p>
    <w:p>
      <w:pPr>
        <w:spacing w:after="240"/>
        <w:ind w:firstLine="0"/>
        <w:jc w:val="center"/>
      </w:pPr>
      <w:r>
        <w:rPr>
          <w:rFonts w:ascii="Arial" w:hAnsi="Arial"/>
          <w:i/>
          <w:sz w:val="20"/>
        </w:rPr>
        <w:t>Figura 9. Lacuna de resolução clínica entre ancestralidades (gnomAD) e a contribuição do modelo para reduzi-la equitativamente.</w:t>
      </w:r>
    </w:p>
    <w:p>
      <w:pPr>
        <w:spacing w:before="200"/>
        <w:ind w:firstLine="0"/>
      </w:pPr>
      <w:r>
        <w:rPr>
          <w:rFonts w:ascii="Arial" w:hAnsi="Arial"/>
          <w:b/>
          <w:sz w:val="22"/>
        </w:rPr>
        <w:t>Tabela 8. Validação temporal (quasi-prospectiva) por ano de corte.</w:t>
      </w:r>
    </w:p>
    <w:tbl>
      <w:tblPr>
        <w:tblW w:type="auto" w:w="0"/>
        <w:jc w:val="center"/>
        <w:tblLayout w:type="fixed"/>
        <w:tblLook w:firstColumn="1" w:firstRow="1" w:lastColumn="0" w:lastRow="0" w:noHBand="0" w:noVBand="1" w:val="04A0"/>
      </w:tblPr>
      <w:tblGrid>
        <w:gridCol w:w="2268"/>
        <w:gridCol w:w="2268"/>
        <w:gridCol w:w="2268"/>
        <w:gridCol w:w="2268"/>
      </w:tblGrid>
      <w:tr>
        <w:trPr>
          <w:cantSplit/>
        </w:trPr>
        <w:tc>
          <w:tcPr>
            <w:tcW w:type="dxa" w:w="1417"/>
            <w:tcBorders>
              <w:top w:val="single" w:sz="10" w:color="000000"/>
              <w:bottom w:val="single" w:sz="10" w:color="000000"/>
            </w:tcBorders>
          </w:tcPr>
          <w:p>
            <w:pPr>
              <w:ind w:firstLine="0"/>
              <w:jc w:val="center"/>
            </w:pPr>
            <w:r>
              <w:rPr>
                <w:rFonts w:ascii="Arial" w:hAnsi="Arial"/>
                <w:b/>
                <w:sz w:val="21"/>
              </w:rPr>
              <w:t>Corte</w:t>
            </w:r>
          </w:p>
        </w:tc>
        <w:tc>
          <w:tcPr>
            <w:tcW w:type="dxa" w:w="1984"/>
            <w:tcBorders>
              <w:top w:val="single" w:sz="10" w:color="000000"/>
              <w:bottom w:val="single" w:sz="10" w:color="000000"/>
            </w:tcBorders>
          </w:tcPr>
          <w:p>
            <w:pPr>
              <w:ind w:firstLine="0"/>
              <w:jc w:val="center"/>
            </w:pPr>
            <w:r>
              <w:rPr>
                <w:rFonts w:ascii="Arial" w:hAnsi="Arial"/>
                <w:b/>
                <w:sz w:val="21"/>
              </w:rPr>
              <w:t>Treino (n)</w:t>
            </w:r>
          </w:p>
        </w:tc>
        <w:tc>
          <w:tcPr>
            <w:tcW w:type="dxa" w:w="2268"/>
            <w:tcBorders>
              <w:top w:val="single" w:sz="10" w:color="000000"/>
              <w:bottom w:val="single" w:sz="10" w:color="000000"/>
            </w:tcBorders>
          </w:tcPr>
          <w:p>
            <w:pPr>
              <w:ind w:firstLine="0"/>
              <w:jc w:val="center"/>
            </w:pPr>
            <w:r>
              <w:rPr>
                <w:rFonts w:ascii="Arial" w:hAnsi="Arial"/>
                <w:b/>
                <w:sz w:val="21"/>
              </w:rPr>
              <w:t>Teste futuro (n)</w:t>
            </w:r>
          </w:p>
        </w:tc>
        <w:tc>
          <w:tcPr>
            <w:tcW w:type="dxa" w:w="1701"/>
            <w:tcBorders>
              <w:top w:val="single" w:sz="10" w:color="000000"/>
              <w:bottom w:val="single" w:sz="10" w:color="000000"/>
            </w:tcBorders>
          </w:tcPr>
          <w:p>
            <w:pPr>
              <w:ind w:firstLine="0"/>
              <w:jc w:val="center"/>
            </w:pPr>
            <w:r>
              <w:rPr>
                <w:rFonts w:ascii="Arial" w:hAnsi="Arial"/>
                <w:b/>
                <w:sz w:val="21"/>
              </w:rPr>
              <w:t>AUC futura</w:t>
            </w:r>
          </w:p>
        </w:tc>
      </w:tr>
      <w:tr>
        <w:trPr>
          <w:cantSplit/>
        </w:trPr>
        <w:tc>
          <w:tcPr>
            <w:tcW w:type="dxa" w:w="1417"/>
          </w:tcPr>
          <w:p>
            <w:pPr>
              <w:ind w:firstLine="0"/>
              <w:jc w:val="left"/>
            </w:pPr>
            <w:r>
              <w:rPr>
                <w:rFonts w:ascii="Arial" w:hAnsi="Arial"/>
                <w:sz w:val="21"/>
              </w:rPr>
              <w:t>2016</w:t>
            </w:r>
          </w:p>
        </w:tc>
        <w:tc>
          <w:tcPr>
            <w:tcW w:type="dxa" w:w="1984"/>
          </w:tcPr>
          <w:p>
            <w:pPr>
              <w:ind w:firstLine="0"/>
              <w:jc w:val="center"/>
            </w:pPr>
            <w:r>
              <w:rPr>
                <w:rFonts w:ascii="Arial" w:hAnsi="Arial"/>
                <w:sz w:val="21"/>
              </w:rPr>
              <w:t>176</w:t>
            </w:r>
          </w:p>
        </w:tc>
        <w:tc>
          <w:tcPr>
            <w:tcW w:type="dxa" w:w="2268"/>
          </w:tcPr>
          <w:p>
            <w:pPr>
              <w:ind w:firstLine="0"/>
              <w:jc w:val="center"/>
            </w:pPr>
            <w:r>
              <w:rPr>
                <w:rFonts w:ascii="Arial" w:hAnsi="Arial"/>
                <w:sz w:val="21"/>
              </w:rPr>
              <w:t>323</w:t>
            </w:r>
          </w:p>
        </w:tc>
        <w:tc>
          <w:tcPr>
            <w:tcW w:type="dxa" w:w="1701"/>
          </w:tcPr>
          <w:p>
            <w:pPr>
              <w:ind w:firstLine="0"/>
              <w:jc w:val="center"/>
            </w:pPr>
            <w:r>
              <w:rPr>
                <w:rFonts w:ascii="Arial" w:hAnsi="Arial"/>
                <w:sz w:val="21"/>
              </w:rPr>
              <w:t>0,892</w:t>
            </w:r>
          </w:p>
        </w:tc>
      </w:tr>
      <w:tr>
        <w:trPr>
          <w:cantSplit/>
        </w:trPr>
        <w:tc>
          <w:tcPr>
            <w:tcW w:type="dxa" w:w="1417"/>
          </w:tcPr>
          <w:p>
            <w:pPr>
              <w:ind w:firstLine="0"/>
              <w:jc w:val="left"/>
            </w:pPr>
            <w:r>
              <w:rPr>
                <w:rFonts w:ascii="Arial" w:hAnsi="Arial"/>
                <w:sz w:val="21"/>
              </w:rPr>
              <w:t>2019</w:t>
            </w:r>
          </w:p>
        </w:tc>
        <w:tc>
          <w:tcPr>
            <w:tcW w:type="dxa" w:w="1984"/>
          </w:tcPr>
          <w:p>
            <w:pPr>
              <w:ind w:firstLine="0"/>
              <w:jc w:val="center"/>
            </w:pPr>
            <w:r>
              <w:rPr>
                <w:rFonts w:ascii="Arial" w:hAnsi="Arial"/>
                <w:sz w:val="21"/>
              </w:rPr>
              <w:t>279</w:t>
            </w:r>
          </w:p>
        </w:tc>
        <w:tc>
          <w:tcPr>
            <w:tcW w:type="dxa" w:w="2268"/>
          </w:tcPr>
          <w:p>
            <w:pPr>
              <w:ind w:firstLine="0"/>
              <w:jc w:val="center"/>
            </w:pPr>
            <w:r>
              <w:rPr>
                <w:rFonts w:ascii="Arial" w:hAnsi="Arial"/>
                <w:sz w:val="21"/>
              </w:rPr>
              <w:t>220</w:t>
            </w:r>
          </w:p>
        </w:tc>
        <w:tc>
          <w:tcPr>
            <w:tcW w:type="dxa" w:w="1701"/>
          </w:tcPr>
          <w:p>
            <w:pPr>
              <w:ind w:firstLine="0"/>
              <w:jc w:val="center"/>
            </w:pPr>
            <w:r>
              <w:rPr>
                <w:rFonts w:ascii="Arial" w:hAnsi="Arial"/>
                <w:sz w:val="21"/>
              </w:rPr>
              <w:t>0,926</w:t>
            </w:r>
          </w:p>
        </w:tc>
      </w:tr>
      <w:tr>
        <w:trPr>
          <w:cantSplit/>
        </w:trPr>
        <w:tc>
          <w:tcPr>
            <w:tcW w:type="dxa" w:w="1417"/>
            <w:tcBorders>
              <w:bottom w:val="single" w:sz="10" w:color="000000"/>
            </w:tcBorders>
          </w:tcPr>
          <w:p>
            <w:pPr>
              <w:ind w:firstLine="0"/>
              <w:jc w:val="left"/>
            </w:pPr>
            <w:r>
              <w:rPr>
                <w:rFonts w:ascii="Arial" w:hAnsi="Arial"/>
                <w:sz w:val="21"/>
              </w:rPr>
              <w:t>2021</w:t>
            </w:r>
          </w:p>
        </w:tc>
        <w:tc>
          <w:tcPr>
            <w:tcW w:type="dxa" w:w="1984"/>
            <w:tcBorders>
              <w:bottom w:val="single" w:sz="10" w:color="000000"/>
            </w:tcBorders>
          </w:tcPr>
          <w:p>
            <w:pPr>
              <w:ind w:firstLine="0"/>
              <w:jc w:val="center"/>
            </w:pPr>
            <w:r>
              <w:rPr>
                <w:rFonts w:ascii="Arial" w:hAnsi="Arial"/>
                <w:sz w:val="21"/>
              </w:rPr>
              <w:t>286</w:t>
            </w:r>
          </w:p>
        </w:tc>
        <w:tc>
          <w:tcPr>
            <w:tcW w:type="dxa" w:w="2268"/>
            <w:tcBorders>
              <w:bottom w:val="single" w:sz="10" w:color="000000"/>
            </w:tcBorders>
          </w:tcPr>
          <w:p>
            <w:pPr>
              <w:ind w:firstLine="0"/>
              <w:jc w:val="center"/>
            </w:pPr>
            <w:r>
              <w:rPr>
                <w:rFonts w:ascii="Arial" w:hAnsi="Arial"/>
                <w:sz w:val="21"/>
              </w:rPr>
              <w:t>213</w:t>
            </w:r>
          </w:p>
        </w:tc>
        <w:tc>
          <w:tcPr>
            <w:tcW w:type="dxa" w:w="1701"/>
            <w:tcBorders>
              <w:bottom w:val="single" w:sz="10" w:color="000000"/>
            </w:tcBorders>
          </w:tcPr>
          <w:p>
            <w:pPr>
              <w:ind w:firstLine="0"/>
              <w:jc w:val="center"/>
            </w:pPr>
            <w:r>
              <w:rPr>
                <w:rFonts w:ascii="Arial" w:hAnsi="Arial"/>
                <w:sz w:val="21"/>
              </w:rPr>
              <w:t>0,932</w:t>
            </w:r>
          </w:p>
        </w:tc>
      </w:tr>
    </w:tbl>
    <w:p>
      <w:pPr>
        <w:pStyle w:val="Heading3"/>
      </w:pPr>
      <w:r>
        <w:t>Aprendizado contínuo e seguro</w:t>
      </w:r>
    </w:p>
    <w:p>
      <w:pPr>
        <w:spacing w:before="0" w:after="80"/>
        <w:ind w:firstLine="709"/>
      </w:pPr>
      <w:r>
        <w:rPr>
          <w:rFonts w:ascii="Arial" w:hAnsi="Arial"/>
          <w:b w:val="0"/>
          <w:i w:val="0"/>
          <w:sz w:val="24"/>
        </w:rPr>
        <w:t>Com um conjunto de variantes recentes mantido travado (≥ 2024, nunca vistas no treino), rótulos confirmados foram revelados de forma acumulada ao longo do tempo: a AUC no conjunto travado sobe de 0,895 para 0,922 — ganho puro por mais dados reais (Figura 10). A trava de segurança foi testada deliberadamente com um lote de feedback envenenado (30% de rótulos invertidos): o candidato resultante (AUC 0,727) foi corretamente rejeitado pela regra de promoção. Não é promessa: é o mesmo efeito medido na validação temporal, operacionalizado como recurso usável hoje.</w:t>
      </w:r>
    </w:p>
    <w:p>
      <w:pPr>
        <w:spacing w:before="200"/>
        <w:ind w:firstLine="0"/>
        <w:jc w:val="center"/>
      </w:pPr>
      <w:r>
        <w:drawing>
          <wp:inline xmlns:a="http://schemas.openxmlformats.org/drawingml/2006/main" xmlns:pic="http://schemas.openxmlformats.org/drawingml/2006/picture">
            <wp:extent cx="4572000" cy="1863701"/>
            <wp:docPr id="10" name="Picture 10"/>
            <wp:cNvGraphicFramePr>
              <a:graphicFrameLocks noChangeAspect="1"/>
            </wp:cNvGraphicFramePr>
            <a:graphic>
              <a:graphicData uri="http://schemas.openxmlformats.org/drawingml/2006/picture">
                <pic:pic>
                  <pic:nvPicPr>
                    <pic:cNvPr id="0" name="fig_continual_learning.png"/>
                    <pic:cNvPicPr/>
                  </pic:nvPicPr>
                  <pic:blipFill>
                    <a:blip r:embed="rId18"/>
                    <a:stretch>
                      <a:fillRect/>
                    </a:stretch>
                  </pic:blipFill>
                  <pic:spPr>
                    <a:xfrm>
                      <a:off x="0" y="0"/>
                      <a:ext cx="4572000" cy="1863701"/>
                    </a:xfrm>
                    <a:prstGeom prst="rect"/>
                  </pic:spPr>
                </pic:pic>
              </a:graphicData>
            </a:graphic>
          </wp:inline>
        </w:drawing>
      </w:r>
    </w:p>
    <w:p>
      <w:pPr>
        <w:spacing w:after="240"/>
        <w:ind w:firstLine="0"/>
        <w:jc w:val="center"/>
      </w:pPr>
      <w:r>
        <w:rPr>
          <w:rFonts w:ascii="Arial" w:hAnsi="Arial"/>
          <w:i/>
          <w:sz w:val="20"/>
        </w:rPr>
        <w:t>Figura 10. Aprendizado contínuo e seguro. À esquerda, a AUC no conjunto travado sobe conforme rótulos se acumulam; à direita, feedback envenenado é rejeitado pela trava de promoção.</w:t>
      </w:r>
    </w:p>
    <w:p>
      <w:pPr>
        <w:pStyle w:val="Heading3"/>
      </w:pPr>
      <w:r>
        <w:t>Validação prospectiva, generalização e utilidade clínica</w:t>
      </w:r>
    </w:p>
    <w:p>
      <w:pPr>
        <w:spacing w:before="0" w:after="80"/>
        <w:ind w:firstLine="709"/>
      </w:pPr>
      <w:r>
        <w:rPr>
          <w:rFonts w:ascii="Arial" w:hAnsi="Arial"/>
          <w:b w:val="0"/>
          <w:i w:val="0"/>
          <w:sz w:val="24"/>
        </w:rPr>
        <w:t>Cinco análises adicionais foram conduzidas para blindar as conclusões (detalhadas no Material Suplementar). A mais decisiva é uma validação prospectiva por congelamento temporal 2023→2026 (Figura 11A): a partir de um snapshot histórico do ClinVar (junho/2023), foram identificadas 56 variantes de BRCA1/BRCA2 que eram VUS ou conflitantes em 2023 e só foram resolvidas a patogênicas/benignas até 2026. Um modelo treinado apenas no que era definitivo em 2023 — portanto cego a essas variantes — previu a resolução da comunidade com AUC de 0,941 (IC95% 0,875–0,987), e 97% de acerto nas 33 chamadas de alta confiança. Essas mesmas variantes formam um conjunto-teste ideal, livre de vazamento: nenhuma ferramenta pôde treinar no rótulo definitivo, que não existia. Nele (Figura 11B), o PrimeVarClass (0,941) supera, no mesmo subconjunto coberto, o AlphaMissense (0,908) e o REVEL (0,849) — invertendo a vantagem aparente do benchmark completo, exatamente como prevê o argumento de circularidade (amostra pequena, 15 positivos; corroboração direta, não prova).</w:t>
      </w:r>
    </w:p>
    <w:p>
      <w:pPr>
        <w:spacing w:before="200"/>
        <w:ind w:firstLine="0"/>
        <w:jc w:val="center"/>
      </w:pPr>
      <w:r>
        <w:drawing>
          <wp:inline xmlns:a="http://schemas.openxmlformats.org/drawingml/2006/main" xmlns:pic="http://schemas.openxmlformats.org/drawingml/2006/picture">
            <wp:extent cx="4297680" cy="1768925"/>
            <wp:docPr id="11" name="Picture 11"/>
            <wp:cNvGraphicFramePr>
              <a:graphicFrameLocks noChangeAspect="1"/>
            </wp:cNvGraphicFramePr>
            <a:graphic>
              <a:graphicData uri="http://schemas.openxmlformats.org/drawingml/2006/picture">
                <pic:pic>
                  <pic:nvPicPr>
                    <pic:cNvPr id="0" name="fig_prospective.png"/>
                    <pic:cNvPicPr/>
                  </pic:nvPicPr>
                  <pic:blipFill>
                    <a:blip r:embed="rId19"/>
                    <a:stretch>
                      <a:fillRect/>
                    </a:stretch>
                  </pic:blipFill>
                  <pic:spPr>
                    <a:xfrm>
                      <a:off x="0" y="0"/>
                      <a:ext cx="4297680" cy="1768925"/>
                    </a:xfrm>
                    <a:prstGeom prst="rect"/>
                  </pic:spPr>
                </pic:pic>
              </a:graphicData>
            </a:graphic>
          </wp:inline>
        </w:drawing>
      </w:r>
    </w:p>
    <w:p>
      <w:pPr>
        <w:spacing w:after="240"/>
        <w:ind w:firstLine="0"/>
        <w:jc w:val="center"/>
      </w:pPr>
      <w:r>
        <w:rPr>
          <w:rFonts w:ascii="Arial" w:hAnsi="Arial"/>
          <w:i/>
          <w:sz w:val="20"/>
        </w:rPr>
        <w:t>Figura 11. Validação prospectiva. (A) Variantes que eram VUS no ClinVar de 2023 e só foram resolvidas até 2026: o modelo, cego a elas, separa as que viriam a ser benignas das patogênicas (AUC 0,941; 97% de acerto nas chamadas de alta confiança). (B) Nessas variantes livres de vazamento — que nenhuma ferramenta pôde ter visto — o PrimeVarClass lidera AlphaMissense e REVEL, invertendo a vantagem do benchmark completo.</w:t>
      </w:r>
    </w:p>
    <w:p>
      <w:pPr>
        <w:spacing w:before="0" w:after="120"/>
        <w:ind w:firstLine="709"/>
      </w:pPr>
      <w:r>
        <w:rPr>
          <w:rFonts w:ascii="Arial" w:hAnsi="Arial"/>
          <w:b w:val="0"/>
          <w:i w:val="0"/>
          <w:sz w:val="24"/>
        </w:rPr>
        <w:t>A generalização além de BRCA foi testada no TP53, cujas patogênicas se concentram no domínio de ligação ao DNA: sob validação bloqueada por posição, a AUC subiu de 0,627 (bioquímico) para 0,780 (+domínio) e 0,912 (+ESM-2, o mesmo modelo de 650M do carro-chefe), reproduzindo em gene novo o ganho de BRCA. A fronteira é delimitada com honestidade — em genes de patogenicidade truncante (PALB2, CHEK2) ou difusa (ATM), o sinal missense-domínio é fraco; num serviço público de oncogenética de Minas Gerais, as VUS de uma coorte de 210 pacientes do SUS concentraram-se justamente no ATM (7/35; RIBEIRO et al., 2025) — o gene onde o próprio método reconhece seu limite, e onde uma triagem calibrada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 instrumento de que carecem os serviços públicos num país onde 71,5% dependem exclusivamente do SUS (RIBEIRO et al., 2025). As figuras destas análises estão no Material Suplementar.</w:t>
      </w:r>
    </w:p>
    <w:p>
      <w:pPr>
        <w:pStyle w:val="Heading3"/>
      </w:pPr>
      <w:r>
        <w:t>Discussão: honestidade metodológica como contribuição, e complemento em vez de concorrência</w:t>
      </w:r>
    </w:p>
    <w:p>
      <w:pPr>
        <w:spacing w:before="0" w:after="0"/>
        <w:ind w:firstLine="709"/>
      </w:pPr>
      <w:r>
        <w:rPr>
          <w:rFonts w:ascii="Arial" w:hAnsi="Arial"/>
          <w:b w:val="0"/>
          <w:i w:val="0"/>
          <w:sz w:val="24"/>
        </w:rPr>
        <w:t>O achado central é que domínio funcional generaliza, enquanto posição bruta memoriza — inversão diagnóstica confirmada em três momentos distintos: a refutação dos primos, o diagnóstico do vazamento posicional, e a exposição da assimetria de circularidade que desfavorece o modelo proposto na comparação com o estado da arte. Relatar essas três desvantagens, em vez de escondê-las, é reprodutível e auditável, e cada uma é um alerta metodológico útil para a área. A própria refutação dos primos funciona como controle negativo interno: o protocolo que atribui p = 1,8 × 10⁻¹³ ao sinal de domínio rejeita o dos primos — prova de que não valida qualquer característica indiscriminadamente. Somam-se dois pontos de rigor: os hiperparâmetros foram fixados a priori, sem ajuste nas coortes de teste; e as afirmações centrais (p entre 10⁻⁸ e 10⁻¹³) sobrevivem à correção de Bonferroni/FDR — só a comparação marginal primos-vs-identidade (p = 0,045) não, sendo por isso tratada como apoio, não decisão. Por isso o diferencial buscado não foi vencer no AUC bruto — comparação estruturalmente injusta contra o modelo —, mas fornecer evidência calibrada onde o AlphaMissense se abstém: as duas ferramentas somam.</w:t>
      </w:r>
    </w:p>
    <w:p>
      <w:pPr>
        <w:pStyle w:val="Heading3"/>
      </w:pPr>
      <w:r>
        <w:t>Limitações e trabalhos futuros</w:t>
      </w:r>
    </w:p>
    <w:p>
      <w:pPr>
        <w:spacing w:before="0" w:after="0"/>
        <w:ind w:firstLine="709"/>
      </w:pPr>
      <w:r>
        <w:rPr>
          <w:rFonts w:ascii="Arial" w:hAnsi="Arial"/>
          <w:b w:val="0"/>
          <w:i w:val="0"/>
          <w:sz w:val="24"/>
        </w:rPr>
        <w:t>A validação concentrou-se em BRCA1/BRCA2; as fronteiras de domínio são aproximações da literatura; a generalização, embora atinja 0,95–0,97 nas coortes de painel especialista, é heterogênea entre coortes, em parte por diferenças de qualidade de rotulagem e por baixos números de positivos nas coortes externas de baixa prevalência; o recorte temporal não isola o vazamento de forma limpa; e a validação funcional apoiou-se na convergência retrospectiva com ensaios de deep mutational scanning publicados — validação ortogonal contra função medida (Starita HDR, AUC 0,712), não em novo experimento de bancada conduzido no âmbito deste trabalho. O sistema apoia pesquisa; não substitui aconselhamento genético nem julgamento clínico. Como trabalhos futuros, pretende-se consolidar a generalização — já demonstrada no TP53 — a mais genes do painel HBOC com coortes maiores, ampliar as coortes externas para caracterizar os limites de aplicabilidade, e acompanhar em produção o módulo de aprendizado contínuo com laboratórios parceiros.</w:t>
      </w:r>
    </w:p>
    <w:p>
      <w:pPr>
        <w:pStyle w:val="Heading3"/>
      </w:pPr>
      <w:r>
        <w:t>Impacto social, aplicação prática e ética no uso de IA</w:t>
      </w:r>
    </w:p>
    <w:p>
      <w:pPr>
        <w:spacing w:before="0" w:after="0"/>
        <w:ind w:firstLine="709"/>
      </w:pPr>
      <w:r>
        <w:rPr>
          <w:rFonts w:ascii="Arial" w:hAnsi="Arial"/>
          <w:b w:val="0"/>
          <w:i w:val="0"/>
          <w:sz w:val="24"/>
        </w:rPr>
        <w:t>O acesso à interpretação genética é desigual no Brasil (ACHATZ et al., 2020; PALMERO et al., 2007; FERNANDES et al., 2019; LASTA; GROTO; BRANDALIZE, 2023; RIBEIRO et al., 2025; NORONHA et al., 2026). O PrimeVarClass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 pacote auditável com testes automatizados, interface programática, protótipo de apoio à decisão e módulo de aprendizado contínuo usável por linha de comando —,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p>
    <w:p>
      <w:r>
        <w:br w:type="page"/>
      </w:r>
    </w:p>
    <w:p>
      <w:pPr>
        <w:pStyle w:val="Heading1"/>
      </w:pPr>
      <w:r>
        <w:t>CONCLUSÃO</w:t>
      </w:r>
    </w:p>
    <w:p>
      <w:pPr>
        <w:spacing w:before="0" w:after="0"/>
        <w:ind w:firstLine="709"/>
      </w:pPr>
      <w:r>
        <w:rPr>
          <w:rFonts w:ascii="Arial" w:hAnsi="Arial"/>
          <w:b w:val="0"/>
          <w:i w:val="0"/>
          <w:sz w:val="24"/>
        </w:rPr>
        <w:t>Uma hipótese ousada — codificar aminoácidos como números primos — foi testada com rigor e refutada com transparência. Esse resultado negativo conduziu ao diagnóstico da armadilha de vazamento posicional e à construção de um classificador consciente de domínio que generaliza para coortes externas (AUC 0,847; p = 1,8 × 10⁻¹³), superando modelos que memorizam. Combinado a um modelo de linguagem de proteínas autêntico, o modelo-carro-chefe alcançou AUC externa de 0,909 — estatisticamente equivalente aos melhores preditores publicados, mesmo avaliado sob a desvantagem que foi tornada explícita. Um meta-classificador atingiu 0,938; a evidência foi calibrada em critérios ACMG/AMP; e demonstrou-se, com dados reais, que o método complementa o AlphaMissense onde ele se abstém, resolvendo mais da metade dos VUS e quase dois terços das variantes conflitantes na sua zona cinzenta. O mecanismo do modelo foi validado contra função medida em laboratório, uma lacuna de equidade entre ancestralidades foi mitigada, e um mecanismo real e seguro de aprendizado contínuo foi entregue. Em teste genuinamente prospectivo, o modelo previu como a comunidade reclassificaria 56 VUS de 2023 (AUC 0,941) e, nesse conjunto livre de vazamento, superou AlphaMissense e REVEL; o método ainda generalizou para o TP53, gene fora do escopo original. Esse método é entregue de forma aberta, explicável, auditável e eticamente contida, com aplicação direta ao contexto brasileiro de saúde de precisão. A maior força do PrimeVarClass não é um número, mas um compromisso demonstrado com a ciência honesta — do teste de uma hipótese própria até a correção de uma assimetria que o desfavorecia.</w:t>
      </w:r>
    </w:p>
    <w:p>
      <w:r>
        <w:br w:type="page"/>
      </w:r>
    </w:p>
    <w:p>
      <w:pPr>
        <w:pStyle w:val="Heading1"/>
      </w:pPr>
      <w:r>
        <w:t>REFERÊNCIAS</w:t>
      </w:r>
    </w:p>
    <w:p>
      <w:pPr>
        <w:spacing w:after="0" w:before="0" w:line="240" w:lineRule="auto"/>
        <w:ind w:firstLine="0"/>
        <w:jc w:val="both"/>
      </w:pPr>
      <w:r>
        <w:rPr>
          <w:rFonts w:ascii="Arial" w:hAnsi="Arial"/>
          <w:sz w:val="19"/>
        </w:rPr>
        <w:t>ACHATZ, M. I. et al. Recommendations for Advancing the Diagnosis and Management of Hereditary Breast and Ovarian Cancer in Brazil. JCO Glob Oncol, v. 6, p. 439-452, 2020. DOI: 10.1200/JGO.19.00170.</w:t>
      </w:r>
    </w:p>
    <w:p>
      <w:pPr>
        <w:spacing w:after="0" w:before="0" w:line="240" w:lineRule="auto"/>
        <w:ind w:firstLine="0"/>
        <w:jc w:val="both"/>
      </w:pPr>
      <w:r>
        <w:rPr>
          <w:rFonts w:ascii="Arial" w:hAnsi="Arial"/>
          <w:sz w:val="19"/>
        </w:rPr>
        <w:t>CHAO, K. R. et al. The landscape of regional missense mutational intolerance quantified from 125,748 exomes. bioRxiv, 2024. DOI: 10.1101/2024.04.11.588920.</w:t>
      </w:r>
    </w:p>
    <w:p>
      <w:pPr>
        <w:spacing w:after="0" w:before="0" w:line="240" w:lineRule="auto"/>
        <w:ind w:firstLine="0"/>
        <w:jc w:val="both"/>
      </w:pPr>
      <w:r>
        <w:rPr>
          <w:rFonts w:ascii="Arial" w:hAnsi="Arial"/>
          <w:sz w:val="19"/>
        </w:rPr>
        <w:t>CHEN, S. et al. A genomic mutational constraint map using variation in 76,156 human genomes. Nature, v. 625, n. 7993, p. 92-100, 2023. DOI: 10.1038/s41586-023-06045-0.</w:t>
      </w:r>
    </w:p>
    <w:p>
      <w:pPr>
        <w:spacing w:after="0" w:before="0" w:line="240" w:lineRule="auto"/>
        <w:ind w:firstLine="0"/>
        <w:jc w:val="both"/>
      </w:pPr>
      <w:r>
        <w:rPr>
          <w:rFonts w:ascii="Arial" w:hAnsi="Arial"/>
          <w:sz w:val="19"/>
        </w:rPr>
        <w:t>CHENG, J. et al. Accurate proteome-wide missense variant effect prediction with AlphaMissense. Science, v. 381, n. 6664, p. eadg7492, 2023. DOI: 10.1126/science.adg7492.</w:t>
      </w:r>
    </w:p>
    <w:p>
      <w:pPr>
        <w:spacing w:after="0" w:before="0" w:line="240" w:lineRule="auto"/>
        <w:ind w:firstLine="0"/>
        <w:jc w:val="both"/>
      </w:pPr>
      <w:r>
        <w:rPr>
          <w:rFonts w:ascii="Arial" w:hAnsi="Arial"/>
          <w:sz w:val="19"/>
        </w:rPr>
        <w:t>DELONG, E. R.; DELONG, D. M.; CLARKE-PEARSON, D. L. Comparing the areas under two or more correlated receiver operating characteristic curves: a nonparametric approach. Biometrics, v. 44, n. 3, p. 837-845, 1988.</w:t>
      </w:r>
    </w:p>
    <w:p>
      <w:pPr>
        <w:spacing w:after="0" w:before="0" w:line="240" w:lineRule="auto"/>
        <w:ind w:firstLine="0"/>
        <w:jc w:val="both"/>
      </w:pPr>
      <w:r>
        <w:rPr>
          <w:rFonts w:ascii="Arial" w:hAnsi="Arial"/>
          <w:sz w:val="19"/>
        </w:rPr>
        <w:t>DINES, J. N. et al. Systematic misclassification of missense variants in BRCA1 and BRCA2 "coldspots". Genet Med, v. 22, n. 5, p. 825-830, 2020. DOI: 10.1038/s41436-019-0740-6.</w:t>
      </w:r>
    </w:p>
    <w:p>
      <w:pPr>
        <w:spacing w:after="0" w:before="0" w:line="240" w:lineRule="auto"/>
        <w:ind w:firstLine="0"/>
        <w:jc w:val="both"/>
      </w:pPr>
      <w:r>
        <w:rPr>
          <w:rFonts w:ascii="Arial" w:hAnsi="Arial"/>
          <w:sz w:val="19"/>
        </w:rPr>
        <w:t>DONG, C. et al. Comparison and integration of deleteriousness prediction methods for nonsynonymous SNVs in whole exome sequencing studies. Hum Mol Genet, v. 24, n. 8, p. 2125-37, 2014. DOI: 10.1093/hmg/ddu733.</w:t>
      </w:r>
    </w:p>
    <w:p>
      <w:pPr>
        <w:spacing w:after="0" w:before="0" w:line="240" w:lineRule="auto"/>
        <w:ind w:firstLine="0"/>
        <w:jc w:val="both"/>
      </w:pPr>
      <w:r>
        <w:rPr>
          <w:rFonts w:ascii="Arial" w:hAnsi="Arial"/>
          <w:sz w:val="19"/>
        </w:rPr>
        <w:t>FAVALLI, V. et al. Machine learning-based reclassification of germline variants of unknown significance: The RENOVO algorithm. Am J Hum Genet, v. 108, n. 4, p. 682-695, 2021. DOI: 10.1016/j.ajhg.2021.03.010.</w:t>
      </w:r>
    </w:p>
    <w:p>
      <w:pPr>
        <w:spacing w:after="0" w:before="0" w:line="240" w:lineRule="auto"/>
        <w:ind w:firstLine="0"/>
        <w:jc w:val="both"/>
      </w:pPr>
      <w:r>
        <w:rPr>
          <w:rFonts w:ascii="Arial" w:hAnsi="Arial"/>
          <w:sz w:val="19"/>
        </w:rPr>
        <w:t>FERNANDES, G. C. et al. Differential Profile of BRCA1 vs. BRCA2 Mutated Families: A Characterization of the Main Differences and Similarities in Patients. Asian Pac J Cancer Prev, v. 20, n. 6, p. 1655-1660, 2019. DOI: 10.31557/APJCP.2019.20.6.1655.</w:t>
      </w:r>
    </w:p>
    <w:p>
      <w:pPr>
        <w:spacing w:after="0" w:before="0" w:line="240" w:lineRule="auto"/>
        <w:ind w:firstLine="0"/>
        <w:jc w:val="both"/>
      </w:pPr>
      <w:r>
        <w:rPr>
          <w:rFonts w:ascii="Arial" w:hAnsi="Arial"/>
          <w:sz w:val="19"/>
        </w:rPr>
        <w:t>FINDLAY, G. M. et al. Saturation editing of genomic regions by multiplex homology-directed repair. Nature, v. 513, n. 7516, p. 120-3, 2014. DOI: 10.1038/nature13695.</w:t>
      </w:r>
    </w:p>
    <w:p>
      <w:pPr>
        <w:spacing w:after="0" w:before="0" w:line="240" w:lineRule="auto"/>
        <w:ind w:firstLine="0"/>
        <w:jc w:val="both"/>
      </w:pPr>
      <w:r>
        <w:rPr>
          <w:rFonts w:ascii="Arial" w:hAnsi="Arial"/>
          <w:sz w:val="19"/>
        </w:rPr>
        <w:t>FINDLAY, G. M. et al. Accurate classification of BRCA1 variants with saturation genome editing. Nature, v. 562, n. 7726, p. 217-222, 2018. DOI: 10.1038/s41586-018-0461-z.</w:t>
      </w:r>
    </w:p>
    <w:p>
      <w:pPr>
        <w:spacing w:after="0" w:before="0" w:line="240" w:lineRule="auto"/>
        <w:ind w:firstLine="0"/>
        <w:jc w:val="both"/>
      </w:pPr>
      <w:r>
        <w:rPr>
          <w:rFonts w:ascii="Arial" w:hAnsi="Arial"/>
          <w:sz w:val="19"/>
        </w:rPr>
        <w:t>FRAZER, J. et al. Disease variant prediction with deep generative models of evolutionary data. Nature, v. 599, n. 7883, p. 91-95, 2021. DOI: 10.1038/s41586-021-04043-8.</w:t>
      </w:r>
    </w:p>
    <w:p>
      <w:pPr>
        <w:spacing w:after="0" w:before="0" w:line="240" w:lineRule="auto"/>
        <w:ind w:firstLine="0"/>
        <w:jc w:val="both"/>
      </w:pPr>
      <w:r>
        <w:rPr>
          <w:rFonts w:ascii="Arial" w:hAnsi="Arial"/>
          <w:sz w:val="19"/>
        </w:rPr>
        <w:t>GANAKAMMAL, S. R.; ALEXOV, E. Evaluation of performance of leading algorithms for variant pathogenicity predictions and designing a combinatory predictor method: application to Rett syndrome variants. PeerJ, v. 7, p. e8106, 2019. DOI: 10.7717/peerj.8106.</w:t>
      </w:r>
    </w:p>
    <w:p>
      <w:pPr>
        <w:spacing w:after="0" w:before="0" w:line="240" w:lineRule="auto"/>
        <w:ind w:firstLine="0"/>
        <w:jc w:val="both"/>
      </w:pPr>
      <w:r>
        <w:rPr>
          <w:rFonts w:ascii="Arial" w:hAnsi="Arial"/>
          <w:sz w:val="19"/>
        </w:rPr>
        <w:t>HART, S. N. et al. Prediction of the functional impact of missense variants in BRCA1 and BRCA2 with BRCA-ML. NPJ Breast Cancer, v. 6, p. 13, 2020. DOI: 10.1038/s41523-020-0159-x.</w:t>
      </w:r>
    </w:p>
    <w:p>
      <w:pPr>
        <w:spacing w:after="0" w:before="0" w:line="240" w:lineRule="auto"/>
        <w:ind w:firstLine="0"/>
        <w:jc w:val="both"/>
      </w:pPr>
      <w:r>
        <w:rPr>
          <w:rFonts w:ascii="Arial" w:hAnsi="Arial"/>
          <w:sz w:val="19"/>
        </w:rPr>
        <w:t>HU, C. et al. Classification of BRCA2 Variants of Uncertain Significance (VUS) Using an ACMG/AMP Model Incorporating a Homology-Directed Repair (HDR) Functional Assay. Clin Cancer Res, v. 28, n. 17, p. 3742-3751, 2022. DOI: 10.1158/1078-0432.CCR-22-0203.</w:t>
      </w:r>
    </w:p>
    <w:p>
      <w:pPr>
        <w:spacing w:after="0" w:before="0" w:line="240" w:lineRule="auto"/>
        <w:ind w:firstLine="0"/>
        <w:jc w:val="both"/>
      </w:pPr>
      <w:r>
        <w:rPr>
          <w:rFonts w:ascii="Arial" w:hAnsi="Arial"/>
          <w:sz w:val="19"/>
        </w:rPr>
        <w:t>IOANNIDIS, N. M. et al. REVEL: An Ensemble Method for Predicting the Pathogenicity of Rare Missense Variants. Am J Hum Genet, v. 99, n. 4, p. 877-885, 2016. DOI: 10.1016/j.ajhg.2016.08.016.</w:t>
      </w:r>
    </w:p>
    <w:p>
      <w:pPr>
        <w:spacing w:after="0" w:before="0" w:line="240" w:lineRule="auto"/>
        <w:ind w:firstLine="0"/>
        <w:jc w:val="both"/>
      </w:pPr>
      <w:r>
        <w:rPr>
          <w:rFonts w:ascii="Arial" w:hAnsi="Arial"/>
          <w:sz w:val="19"/>
        </w:rPr>
        <w:t>KARCZEWSKI, K. J. et al. The mutational constraint spectrum quantified from variation in 141,456 humans. Nature, v. 581, n. 7809, p. 434-443, 2020. DOI: 10.1038/s41586-020-2308-7.</w:t>
      </w:r>
    </w:p>
    <w:p>
      <w:pPr>
        <w:spacing w:after="0" w:before="0" w:line="240" w:lineRule="auto"/>
        <w:ind w:firstLine="0"/>
        <w:jc w:val="both"/>
      </w:pPr>
      <w:r>
        <w:rPr>
          <w:rFonts w:ascii="Arial" w:hAnsi="Arial"/>
          <w:sz w:val="19"/>
        </w:rPr>
        <w:t>KERNBACH, J. M.; STAARTJES, V. E. Foundations of Machine Learning-Based Clinical Prediction Modeling: Part II-Generalization and Overfitting. Acta Neurochir Suppl, v. 134, p. 15-21, 2022. DOI: 10.1007/978-3-030-85292-4_3.</w:t>
      </w:r>
    </w:p>
    <w:p>
      <w:pPr>
        <w:spacing w:after="0" w:before="0" w:line="240" w:lineRule="auto"/>
        <w:ind w:firstLine="0"/>
        <w:jc w:val="both"/>
      </w:pPr>
      <w:r>
        <w:rPr>
          <w:rFonts w:ascii="Arial" w:hAnsi="Arial"/>
          <w:sz w:val="19"/>
        </w:rPr>
        <w:t>LABES, S. et al. Machine-learning of complex evolutionary signals improves classification of SNVs. NAR Genom Bioinform, v. 4, n. 2, p. lqac025, 2022. DOI: 10.1093/nargab/lqac025.</w:t>
      </w:r>
    </w:p>
    <w:p>
      <w:pPr>
        <w:spacing w:after="0" w:before="0" w:line="240" w:lineRule="auto"/>
        <w:ind w:firstLine="0"/>
        <w:jc w:val="both"/>
      </w:pPr>
      <w:r>
        <w:rPr>
          <w:rFonts w:ascii="Arial" w:hAnsi="Arial"/>
          <w:sz w:val="19"/>
        </w:rPr>
        <w:t>LAKE, N. J. et al. Quantifying constraint in the human mitochondrial genome. Nature, v. 635, n. 8038, p. 390-397, 2024. DOI: 10.1038/s41586-024-08048-x.</w:t>
      </w:r>
    </w:p>
    <w:p>
      <w:pPr>
        <w:spacing w:after="0" w:before="0" w:line="240" w:lineRule="auto"/>
        <w:ind w:firstLine="0"/>
        <w:jc w:val="both"/>
      </w:pPr>
      <w:r>
        <w:rPr>
          <w:rFonts w:ascii="Arial" w:hAnsi="Arial"/>
          <w:sz w:val="19"/>
        </w:rPr>
        <w:t>LASTA, J. L.; GROTO, A. D.; BRANDALIZE, A. P. C. Assessment of medical knowledge toward genetic testing for individuals with hereditary breast and ovarian cancer syndrome in Brazil. Prev Med Rep, v. 35, p. 102356, 2023. DOI: 10.1016/j.pmedr.2023.102356.</w:t>
      </w:r>
    </w:p>
    <w:p>
      <w:pPr>
        <w:spacing w:after="0" w:before="0" w:line="240" w:lineRule="auto"/>
        <w:ind w:firstLine="0"/>
        <w:jc w:val="both"/>
      </w:pPr>
      <w:r>
        <w:rPr>
          <w:rFonts w:ascii="Arial" w:hAnsi="Arial"/>
          <w:sz w:val="19"/>
        </w:rPr>
        <w:t>LIN, Z. et al. Evolutionary-scale prediction of atomic-level protein structure with a language model. Science, v. 379, n. 6637, p. 1123-1130, 2023. DOI: 10.1126/science.ade2574.</w:t>
      </w:r>
    </w:p>
    <w:p>
      <w:pPr>
        <w:spacing w:after="0" w:before="0" w:line="240" w:lineRule="auto"/>
        <w:ind w:firstLine="0"/>
        <w:jc w:val="both"/>
      </w:pPr>
      <w:r>
        <w:rPr>
          <w:rFonts w:ascii="Arial" w:hAnsi="Arial"/>
          <w:sz w:val="19"/>
        </w:rPr>
        <w:t>MANRAI, A. K. et al. Genetic Misdiagnoses and the Potential for Health Disparities. N Engl J Med, v. 375, n. 7, p. 655-665, 2016. DOI: 10.1056/NEJMsa1507092.</w:t>
      </w:r>
    </w:p>
    <w:p>
      <w:pPr>
        <w:spacing w:after="0" w:before="0" w:line="240" w:lineRule="auto"/>
        <w:ind w:firstLine="0"/>
        <w:jc w:val="both"/>
      </w:pPr>
      <w:r>
        <w:rPr>
          <w:rFonts w:ascii="Arial" w:hAnsi="Arial"/>
          <w:sz w:val="19"/>
        </w:rPr>
        <w:t>MCCORMICK, E. M. et al. Specifications of the ACMG/AMP standards and guidelines for mitochondrial DNA variant interpretation. Hum Mutat, v. 41, n. 12, p. 2028-2057, 2020. DOI: 10.1002/humu.24107.</w:t>
      </w:r>
    </w:p>
    <w:p>
      <w:pPr>
        <w:spacing w:after="0" w:before="0" w:line="240" w:lineRule="auto"/>
        <w:ind w:firstLine="0"/>
        <w:jc w:val="both"/>
      </w:pPr>
      <w:r>
        <w:rPr>
          <w:rFonts w:ascii="Arial" w:hAnsi="Arial"/>
          <w:sz w:val="19"/>
        </w:rPr>
        <w:t>MEIER, J. et al. Language models enable zero-shot prediction of the effects of mutations on protein function. NeurIPS, 2021.</w:t>
      </w:r>
    </w:p>
    <w:p>
      <w:pPr>
        <w:spacing w:after="0" w:before="0" w:line="240" w:lineRule="auto"/>
        <w:ind w:firstLine="0"/>
        <w:jc w:val="both"/>
      </w:pPr>
      <w:r>
        <w:rPr>
          <w:rFonts w:ascii="Arial" w:hAnsi="Arial"/>
          <w:sz w:val="19"/>
        </w:rPr>
        <w:t>NORONHA, M. M. et al. Beyond 1100delC: distinct CHEK2 variants and unique cancer phenotypes in Northeast Brazil. Fam Cancer, v. 25, n. 1, p. 8, 2026. DOI: 10.1007/s10689-025-00526-z.</w:t>
      </w:r>
    </w:p>
    <w:p>
      <w:pPr>
        <w:spacing w:after="0" w:before="0" w:line="240" w:lineRule="auto"/>
        <w:ind w:firstLine="0"/>
        <w:jc w:val="both"/>
      </w:pPr>
      <w:r>
        <w:rPr>
          <w:rFonts w:ascii="Arial" w:hAnsi="Arial"/>
          <w:sz w:val="19"/>
        </w:rPr>
        <w:t>NYKAMP, K. et al. Sherloc: a comprehensive refinement of the ACMG-AMP variant classification criteria. Genet Med, v. 19, n. 10, p. 1105-1117, 2017. DOI: 10.1038/gim.2017.37.</w:t>
      </w:r>
    </w:p>
    <w:p>
      <w:pPr>
        <w:spacing w:after="0" w:before="0" w:line="240" w:lineRule="auto"/>
        <w:ind w:firstLine="0"/>
        <w:jc w:val="both"/>
      </w:pPr>
      <w:r>
        <w:rPr>
          <w:rFonts w:ascii="Arial" w:hAnsi="Arial"/>
          <w:sz w:val="19"/>
        </w:rPr>
        <w:t>OZA, A. M. et al. Expert specification of the ACMG/AMP variant interpretation guidelines for genetic hearing loss. Hum Mutat, v. 39, n. 11, p. 1593-1613, 2018. DOI: 10.1002/humu.23630.</w:t>
      </w:r>
    </w:p>
    <w:p>
      <w:pPr>
        <w:spacing w:after="0" w:before="0" w:line="240" w:lineRule="auto"/>
        <w:ind w:firstLine="0"/>
        <w:jc w:val="both"/>
      </w:pPr>
      <w:r>
        <w:rPr>
          <w:rFonts w:ascii="Arial" w:hAnsi="Arial"/>
          <w:sz w:val="19"/>
        </w:rPr>
        <w:t>PALMERO, E. I. et al. Clinical characterization and risk profile of individuals seeking genetic counseling for hereditary breast cancer in Brazil. J Genet Couns, v. 16, n. 3, p. 363-71, 2007. DOI: 10.1007/s10897-006-9073-0.</w:t>
      </w:r>
    </w:p>
    <w:p>
      <w:pPr>
        <w:spacing w:after="0" w:before="0" w:line="240" w:lineRule="auto"/>
        <w:ind w:firstLine="0"/>
        <w:jc w:val="both"/>
      </w:pPr>
      <w:r>
        <w:rPr>
          <w:rFonts w:ascii="Arial" w:hAnsi="Arial"/>
          <w:sz w:val="19"/>
        </w:rPr>
        <w:t>PARSONS, M. T. et al. Large scale multifactorial likelihood quantitative analysis of BRCA1 and BRCA2 variants: An ENIGMA resource to support clinical variant classification. Hum Mutat, v. 40, n. 9, p. 1557-1578, 2019. DOI: 10.1002/humu.23818.</w:t>
      </w:r>
    </w:p>
    <w:p>
      <w:pPr>
        <w:spacing w:after="0" w:before="0" w:line="240" w:lineRule="auto"/>
        <w:ind w:firstLine="0"/>
        <w:jc w:val="both"/>
      </w:pPr>
      <w:r>
        <w:rPr>
          <w:rFonts w:ascii="Arial" w:hAnsi="Arial"/>
          <w:sz w:val="19"/>
        </w:rPr>
        <w:t>PEJAVER, V. et al. Calibration of computational tools for missense variant pathogenicity classification and ClinGen recommendations for PP3/BP4 criteria. Am J Hum Genet, v. 109, n. 12, p. 2163-2177, 2022. DOI: 10.1016/j.ajhg.2022.10.013.</w:t>
      </w:r>
    </w:p>
    <w:p>
      <w:pPr>
        <w:spacing w:after="0" w:before="0" w:line="240" w:lineRule="auto"/>
        <w:ind w:firstLine="0"/>
        <w:jc w:val="both"/>
      </w:pPr>
      <w:r>
        <w:rPr>
          <w:rFonts w:ascii="Arial" w:hAnsi="Arial"/>
          <w:sz w:val="19"/>
        </w:rPr>
        <w:t>POPEJOY, A. B.; FULLERTON, S. M. Genomics is failing on diversity. Nature, v. 538, n. 7624, p. 161-164, 2016. DOI: 10.1038/538161a.</w:t>
      </w:r>
    </w:p>
    <w:p>
      <w:pPr>
        <w:spacing w:after="0" w:before="0" w:line="240" w:lineRule="auto"/>
        <w:ind w:firstLine="0"/>
        <w:jc w:val="both"/>
      </w:pPr>
      <w:r>
        <w:rPr>
          <w:rFonts w:ascii="Arial" w:hAnsi="Arial"/>
          <w:sz w:val="19"/>
        </w:rPr>
        <w:t>RAMADANE-MORCHADI, L. et al. ACMG/AMP interpretation of BRCA1 missense variants: Structure-informed scores add evidence strength granularity to the PP3/BP4 computational evidence. Am J Hum Genet, v. 112, n. 5, p. 993-1002, 2025. DOI: 10.1016/j.ajhg.2024.12.011.</w:t>
      </w:r>
    </w:p>
    <w:p>
      <w:pPr>
        <w:spacing w:after="0" w:before="0" w:line="240" w:lineRule="auto"/>
        <w:ind w:firstLine="0"/>
        <w:jc w:val="both"/>
      </w:pPr>
      <w:r>
        <w:rPr>
          <w:rFonts w:ascii="Arial" w:hAnsi="Arial"/>
          <w:sz w:val="19"/>
        </w:rPr>
        <w:t>RENTZSCH, P. et al. CADD: predicting the deleteriousness of variants throughout the human genome. Nucleic Acids Res, v. 47, n. D1, p. D886-D894, 2019. DOI: 10.1093/nar/gky1016.</w:t>
      </w:r>
    </w:p>
    <w:p>
      <w:pPr>
        <w:spacing w:after="0" w:before="0" w:line="240" w:lineRule="auto"/>
        <w:ind w:firstLine="0"/>
        <w:jc w:val="both"/>
      </w:pPr>
      <w:r>
        <w:rPr>
          <w:rFonts w:ascii="Arial" w:hAnsi="Arial"/>
          <w:sz w:val="19"/>
        </w:rPr>
        <w:t>RIBEIRO, A. A. F. et al. Molecular characterization of hereditary breast and ovarian cancer patients from a public precision medicine service in the Southeast Brazilian population. Sci Rep, v. 15, n. 1, p. 33495, 2025. DOI: 10.1038/s41598-025-16870-0.</w:t>
      </w:r>
    </w:p>
    <w:p>
      <w:pPr>
        <w:spacing w:after="0" w:before="0" w:line="240" w:lineRule="auto"/>
        <w:ind w:firstLine="0"/>
        <w:jc w:val="both"/>
      </w:pPr>
      <w:r>
        <w:rPr>
          <w:rFonts w:ascii="Arial" w:hAnsi="Arial"/>
          <w:sz w:val="19"/>
        </w:rPr>
        <w:t>RICHARDS, S. et al. Standards and guidelines for the interpretation of sequence variants: a joint consensus recommendation of the American College of Medical Genetics and Genomics and the Association for Molecular Pathology. Genet Med, v. 17, n. 5, p. 405-24, 2015. DOI: 10.1038/gim.2015.30.</w:t>
      </w:r>
    </w:p>
    <w:p>
      <w:pPr>
        <w:spacing w:after="0" w:before="0" w:line="240" w:lineRule="auto"/>
        <w:ind w:firstLine="0"/>
        <w:jc w:val="both"/>
      </w:pPr>
      <w:r>
        <w:rPr>
          <w:rFonts w:ascii="Arial" w:hAnsi="Arial"/>
          <w:sz w:val="19"/>
        </w:rPr>
        <w:t>SHETTY, A. P. et al. A leakage-controlled and SHAP driven machine learning framework for paediatric respiratory disease classification using Indian hospital EHR data. BMC Med Inform Decis Mak, v. 26, n. 1, 2026. DOI: 10.1186/s12911-026-03493-2.</w:t>
      </w:r>
    </w:p>
    <w:p>
      <w:pPr>
        <w:spacing w:after="0" w:before="0" w:line="240" w:lineRule="auto"/>
        <w:ind w:firstLine="0"/>
        <w:jc w:val="both"/>
      </w:pPr>
      <w:r>
        <w:rPr>
          <w:rFonts w:ascii="Arial" w:hAnsi="Arial"/>
          <w:sz w:val="19"/>
        </w:rPr>
        <w:t>SMOL, T. et al. Performance of meta-predictors for the classification of MED13L missense variations, implication of raw parameters. Eur J Med Genet, v. 65, n. 1, p. 104398, 2021. DOI: 10.1016/j.ejmg.2021.104398.</w:t>
      </w:r>
    </w:p>
    <w:p>
      <w:pPr>
        <w:spacing w:after="0" w:before="0" w:line="240" w:lineRule="auto"/>
        <w:ind w:firstLine="0"/>
        <w:jc w:val="both"/>
      </w:pPr>
      <w:r>
        <w:rPr>
          <w:rFonts w:ascii="Arial" w:hAnsi="Arial"/>
          <w:sz w:val="19"/>
        </w:rPr>
        <w:t>SOEWITO, S. et al. Disparities in Cancer Genetic Testing and Variants of Uncertain Significance in the Hispanic Population of South Texas. JCO Oncol Pract, v. 18, n. 5, p. e805-e813, 2022. DOI: 10.1200/OP.22.00090.</w:t>
      </w:r>
    </w:p>
    <w:p>
      <w:pPr>
        <w:spacing w:after="0" w:before="0" w:line="240" w:lineRule="auto"/>
        <w:ind w:firstLine="0"/>
        <w:jc w:val="both"/>
      </w:pPr>
      <w:r>
        <w:rPr>
          <w:rFonts w:ascii="Arial" w:hAnsi="Arial"/>
          <w:sz w:val="19"/>
        </w:rPr>
        <w:t>STARITA, L. M. et al. Massively Parallel Functional Analysis of BRCA1 RING Domain Variants. Genetics, v. 200, n. 2, p. 413-422, 2015. DOI: 10.1534/genetics.115.175802.</w:t>
      </w:r>
    </w:p>
    <w:p>
      <w:pPr>
        <w:spacing w:after="0" w:before="0" w:line="240" w:lineRule="auto"/>
        <w:ind w:firstLine="0"/>
        <w:jc w:val="both"/>
      </w:pPr>
      <w:r>
        <w:rPr>
          <w:rFonts w:ascii="Arial" w:hAnsi="Arial"/>
          <w:sz w:val="19"/>
        </w:rPr>
        <w:t>SUYBENG, V. et al. Comparison of Pathogenicity Prediction Tools on Somatic Variants. J Mol Diagn, v. 22, n. 12, p. 1383-1392, 2020. DOI: 10.1016/j.jmoldx.2020.08.007.</w:t>
      </w:r>
    </w:p>
    <w:p>
      <w:pPr>
        <w:spacing w:after="0" w:before="0" w:line="240" w:lineRule="auto"/>
        <w:ind w:firstLine="0"/>
        <w:jc w:val="both"/>
      </w:pPr>
      <w:r>
        <w:rPr>
          <w:rFonts w:ascii="Arial" w:hAnsi="Arial"/>
          <w:sz w:val="19"/>
        </w:rPr>
        <w:t>TIAN, Y. et al. REVEL and BayesDel outperform other in silico meta-predictors for clinical variant classification. Sci Rep, v. 9, n. 1, p. 12752, 2019. DOI: 10.1038/s41598-019-49224-8.</w:t>
      </w:r>
    </w:p>
    <w:p>
      <w:pPr>
        <w:spacing w:after="0" w:before="0" w:line="240" w:lineRule="auto"/>
        <w:ind w:firstLine="0"/>
        <w:jc w:val="both"/>
      </w:pPr>
      <w:r>
        <w:rPr>
          <w:rFonts w:ascii="Arial" w:hAnsi="Arial"/>
          <w:sz w:val="19"/>
        </w:rPr>
        <w:t>TOLAND, A. E.; ANDREASSEN, P. R. DNA repair-related functional assays for the classification of BRCA1 and BRCA2 variants: a critical review and needs assessment. J Med Genet, v. 54, n. 11, p. 721-731, 2017. DOI: 10.1136/jmedgenet-2017-104707.</w:t>
      </w:r>
    </w:p>
    <w:p>
      <w:pPr>
        <w:spacing w:after="0" w:before="0" w:line="240" w:lineRule="auto"/>
        <w:ind w:firstLine="0"/>
        <w:jc w:val="both"/>
      </w:pPr>
      <w:r>
        <w:rPr>
          <w:rFonts w:ascii="Arial" w:hAnsi="Arial"/>
          <w:sz w:val="19"/>
        </w:rPr>
        <w:t>TORRETTO, G. C. et al. Domain-Specific Computational, Functional and Structural Methods Enable Interpretation of BRCT Variants of Uncertain Significance. Curr Oncol, v. 33, n. 6, 2026. DOI: 10.3390/curroncol33060354.</w:t>
      </w:r>
    </w:p>
    <w:p>
      <w:pPr>
        <w:spacing w:after="0" w:before="0" w:line="240" w:lineRule="auto"/>
        <w:ind w:firstLine="0"/>
        <w:jc w:val="both"/>
      </w:pPr>
      <w:r>
        <w:rPr>
          <w:rFonts w:ascii="Arial" w:hAnsi="Arial"/>
          <w:sz w:val="19"/>
        </w:rPr>
        <w:t>UNIPROT CONSORTIUM, THE. UniProt: the Universal Protein Knowledgebase in 2023. Nucleic Acids Res, v. 51, n. D1, p. D523-D531, 2023.</w:t>
      </w:r>
    </w:p>
    <w:p>
      <w:pPr>
        <w:spacing w:after="0" w:before="0" w:line="240" w:lineRule="auto"/>
        <w:ind w:firstLine="0"/>
        <w:jc w:val="both"/>
      </w:pPr>
      <w:r>
        <w:rPr>
          <w:rFonts w:ascii="Arial" w:hAnsi="Arial"/>
          <w:sz w:val="19"/>
        </w:rPr>
        <w:t>YANG, H. et al. BRCA2 function in DNA binding and recombination from a BRCA2-DSS1-ssDNA structure. Science, v. 297, n. 5588, p. 1837-1848, 2002. DOI: 10.1126/science.297.5588.1837.</w:t>
      </w:r>
    </w:p>
    <w:p>
      <w:pPr>
        <w:spacing w:after="0" w:before="0" w:line="240" w:lineRule="auto"/>
        <w:ind w:firstLine="0"/>
        <w:jc w:val="both"/>
      </w:pPr>
      <w:r>
        <w:rPr>
          <w:rFonts w:ascii="Arial" w:hAnsi="Arial"/>
          <w:sz w:val="19"/>
        </w:rPr>
        <w:t>ZHANG, X. et al. Genetic constraint at single amino acid resolution in protein domains improves missense variant prioritisation and gene discovery. Genome Med, v. 16, n. 1, p. 88, 2024. DOI: 10.1186/s13073-024-01358-9.</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ind w:firstLine="0"/>
      <w:jc w:val="left"/>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60"/>
      <w:ind w:firstLine="0"/>
      <w:jc w:val="left"/>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60"/>
      <w:ind w:firstLine="0"/>
      <w:jc w:val="left"/>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