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Autor:</w:t>
      </w:r>
      <w:r>
        <w:rPr>
          <w:rFonts w:ascii="Arial" w:hAnsi="Arial"/>
          <w:sz w:val="22"/>
        </w:rPr>
        <w:t xml:space="preserve"> Wesley Felipe Capucho — graduando em Engenharia Bioquímica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do(a) orientador(a) — a preencher⟩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Escola de Engenharia de Lorena, Universidade de São Paulo (EEL-USP) — Estrada Municipal do Campinho, s/nº, Ponte Nova, Lorena – SP, CEP 12602-810. Telefone: ⟨a preencher⟩. E-mail: wesleycapucho@usp.br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Escola de Engenharia de Lorena, Universidade de São Paulo (EEL-USP), Lorena – SP, Brasil.</w:t>
      </w:r>
    </w:p>
    <w:p>
      <w:pPr>
        <w:spacing w:after="40"/>
      </w:pPr>
      <w:r>
        <w:rPr>
          <w:rFonts w:ascii="Arial" w:hAnsi="Arial"/>
          <w:i/>
          <w:sz w:val="22"/>
        </w:rPr>
        <w:t>Formatação: A4, fonte Arial, corpo 12, espaçamento 1,5, em Língua Portuguesa (item 2.2.2 do Edital). Campos restantes entre ⟨…⟩ (nome do orientador e telefone institucional) a preencher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gnomAD, sob o mesmo protocolo rigoroso usado em todo o trabalho (validação cruzada bloqueada por posição e generalização em coortes externas).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mesmo nesse regime rigoroso, características derivadas de primos tiveram desempenho inferior ao de uma identidade trivial de aminoácidos sem posição (AUC externa 0,681 vs. 0,718; DeLong p = 0,045)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(AUC externa 0,791 → 0,765;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bruta do resíduo, quando avaliada sob validação ingênua (sem bloqueio), memoriza os dados de treino (AUC de ~0,885) mas essa memorização não se sustenta sob validação rigorosa nem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A base biológica desse problema reside na função de BRCA1 e BRCA2 na manutenção da integridade do genoma. Ambas são essenciais ao reparo de quebras de dupla fita do DNA pela via de </w:t>
      </w:r>
      <w:r>
        <w:rPr>
          <w:rFonts w:ascii="Arial" w:hAnsi="Arial"/>
          <w:b/>
        </w:rPr>
        <w:t>recombinação homóloga (RH)</w:t>
      </w:r>
      <w:r>
        <w:rPr>
          <w:rFonts w:ascii="Arial" w:hAnsi="Arial"/>
        </w:rPr>
        <w:t>, de alta fidelidade: BRCA2 controla o carregamento da recombinase RAD51 sobre o DNA de fita simples, enquanto BRCA1, em complexo com BARD1, atua na sinalização e no processamento do dano. Quando uma variante germinativa compromete essa função, a RH torna-se deficiente e a célula recorre a mecanismos de reparo propensos a erro, acumulando mutações e instabilidade genômica — o substrato da transformação maligna. Clinicamente, isso se traduz em risco elevado e precoce de câncer de mama e de ovário, com penetrância cumulativa que pode ultrapassar 70% ao longo da vida, e fundamenta tanto estratégias de redução de risco quanto terapias-alvo (inibidores de PARP). A Figura 1 sintetiza esse mecanismo.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56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56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Mecanismo biológico que conecta as proteínas BRCA1/BRCA2 ao câncer hereditário de mama e ovário (HBOC). À esquerda (verde), em uma célula com BRCA1/BRCA2 funcionais, uma quebra de dupla fita no DNA é reparada com fidelidade pela via de recombinação homóloga (RH) — na qual essas proteínas recrutam a recombinase RAD51 —, mantendo a estabilidade genômica e protegendo contra o câncer. À direita (vermelho), uma variante patogênica germinativa (por exemplo, Cys61Gly no domínio RING ou Met1775Arg no domínio BRCT do BRCA1) compromete um domínio funcional crítico, tornando a RH deficiente; o DNA passa a ser reparado por vias propensas a erro, com acúmulo de mutações, instabilidade genômica e, por fim, tumorigênese. A penetrância é elevada (risco cumulativo de câncer de mama de ~45–72% e de ovário de ~11–44% ao longo da vida em portadoras de BRCA1/BRCA2) e a deficiência de RH é explorada terapeuticamente por inibidores de PARP (letalidade sintética). Este é o contexto clínico que torna crítica a classificação precisa das variantes.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P51587), conforme a base de dados UniProt (UniProt Consortium, 2023):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 (Karczewski et al., 2020).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2,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289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289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(coordenadas reais do Protein Data Bank, renderizadas com PyMOL open-source).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(verde) / BARD1 (ciano); os íons de zinco (esferas roxas) são coordenados por cisteínas (bastões vermelhos) que formam o núcleo estrutural do domínio —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(verde) em complexo com DSS1 (ciano) e ssDNA (laranja), conforme Yang et al. (2002). As três regiões em destaque são os domínios funcionais críticos usados pelo modelo consciente de domínio.</w:t>
      </w:r>
    </w:p>
    <w:p>
      <w:pPr>
        <w:jc w:val="both"/>
      </w:pPr>
      <w:r>
        <w:rPr>
          <w:rFonts w:ascii="Arial" w:hAnsi="Arial"/>
        </w:rPr>
        <w:t>A importância dessas regiões torna-se evidente ao observar o efeito estrutural de variantes patogênicas conhecidas (Figura 3). No domínio RING, cisteínas como Cys61 e Cys64 coordenam um íon de zinco estrutural; substituições como p.Cys61Gly e p.Cys64Gly removem esses ligantes, colapsam o domínio e abolem a atividade de E3-ligase e a interação com BARD1. No domínio BRCT, a variante p.Met1775Arg desestabiliza a interface entre as duas repetições e prejudica o reconhecimento de fosfopeptídeos. Ou seja, as mutações patogênicas danificam precisamente as regiões que o modelo consciente de domínio identifica como críticas — a base biológica que sustenta a abordagem.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846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tation_con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4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Consequência estrutural de variantes patogênicas nos domínios críticos do BRCA1, a partir de estruturas experimentais reais (renderização com PyMOL open-source). </w:t>
      </w:r>
      <w:r>
        <w:rPr>
          <w:rFonts w:ascii="Arial" w:hAnsi="Arial"/>
          <w:b/>
          <w:i/>
          <w:sz w:val="20"/>
        </w:rPr>
        <w:t>(A)</w:t>
      </w:r>
      <w:r>
        <w:rPr>
          <w:rFonts w:ascii="Arial" w:hAnsi="Arial"/>
          <w:i/>
          <w:sz w:val="20"/>
        </w:rPr>
        <w:t xml:space="preserve"> Sítio de coordenação de zinco no domínio RING (PDB 1JM7): o íon Zn²⁺ (esfera roxa) é mantido por cisteínas, entre elas Cys61 e Cys64 (bastões vermelhos, rotulados). Variantes patogênicas clássicas como p.Cys61Gly e p.Cys64Gly substituem essas cisteínas, abolindo a coordenação do zinco e desestruturando o domínio. </w:t>
      </w:r>
      <w:r>
        <w:rPr>
          <w:rFonts w:ascii="Arial" w:hAnsi="Arial"/>
          <w:b/>
          <w:i/>
          <w:sz w:val="20"/>
        </w:rPr>
        <w:t>(B)</w:t>
      </w:r>
      <w:r>
        <w:rPr>
          <w:rFonts w:ascii="Arial" w:hAnsi="Arial"/>
          <w:i/>
          <w:sz w:val="20"/>
        </w:rPr>
        <w:t xml:space="preserve"> Domínio BRCT (PDB 1N5O) contendo a variante patogênica p.Met1775Arg: o resíduo 1775 (bastões vermelhos) situa-se na interface entre as duas repetições BRCT, e sua substituição desestabiliza o dobramento e compromete a função. Em ambos os casos, a mutação danifica exatamente a região funcional crítica — a mesma informação de região que o modelo utiliza para generalizar.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 xml:space="preserve"> (DeLong; DeLong; Clarke-Pearson, 1988).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Testamos a hipótese sob o mesmo protocolo anti-vazamento descrito na Seção 2.5 — validação cruzada bloqueada por posição e generalização em coortes externas independentes —, com o mesmo classificador para todos os conjuntos de características (Tabela 1). Sob esse protocolo,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na refutação da hipótese dos primos, sob o protocolo anti-vazamento (mesmo classificador e mesma amostra de treino, n = 869; ver Seção 2.5).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 + posição)ᵃ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0,871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0,882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(inclui gene e posição)ᵃ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0,783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0,765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aa_alt, sem posição)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0,745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0,718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0,681</w:t>
            </w:r>
          </w:p>
        </w:tc>
      </w:tr>
    </w:tbl>
    <w:p/>
    <w:p>
      <w:pPr>
        <w:jc w:val="both"/>
      </w:pPr>
      <w:r>
        <w:rPr>
          <w:rFonts w:ascii="Arial" w:hAnsi="Arial"/>
        </w:rPr>
        <w:t>ᵃ Por definição do pipeline de características, estes três conjuntos incluem o gene e a posição bruta do resíduo. O risco de memorização associado à posição é diagnosticado na Seção 3.2 e removido explicitamente no modelo proposto (Tabela 3).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pelo teste de DeLong (DeLong; DeLong; Clarke-Pearson, 1988), sob o mesmo protocolo anti-vazamento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Protocolo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 (sem posição)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CV bloqueada por posição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0,745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0,081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 (sem posição)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Coortes externas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0,681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−0,038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0,045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apenas-bioquímicoᵇ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Coortes externas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0,765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−0,026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>ᵇ Ambos os conjuntos incluem igualmente gene e posição (nota da Tabela 1); a comparação isola o efeito marginal de adicionar as características derivadas de primos.</w:t>
      </w:r>
    </w:p>
    <w:p>
      <w:pPr>
        <w:jc w:val="both"/>
      </w:pPr>
      <w:r>
        <w:rPr>
          <w:rFonts w:ascii="Arial" w:hAnsi="Arial"/>
        </w:rPr>
        <w:t xml:space="preserve">Mesmo sob o protocolo mais rigoroso, os primos não superam a identidade trivial: a diferença é uma tendência não significativa na validação cruzada interna (p = 0,081), mas torna-se estatisticamente significativa no teste mais decisivo — a generalização externa (p = 0,045). E quando adicionados a um modelo bioquímico já estabelecido, os primos </w:t>
      </w:r>
      <w:r>
        <w:rPr>
          <w:rFonts w:ascii="Arial" w:hAnsi="Arial"/>
          <w:b/>
        </w:rPr>
        <w:t>pioram</w:t>
      </w:r>
      <w:r>
        <w:rPr>
          <w:rFonts w:ascii="Arial" w:hAnsi="Arial"/>
        </w:rPr>
        <w:t xml:space="preserve"> o desempenho de forma inequívoca nas coortes externas (p &lt; 0,0001). A conclusão é honesta e reprodutível: </w:t>
      </w:r>
      <w:r>
        <w:rPr>
          <w:rFonts w:ascii="Arial" w:hAnsi="Arial"/>
          <w:b/>
        </w:rPr>
        <w:t>os números primos não agregam sinal preditivo útil</w:t>
      </w:r>
      <w:r>
        <w:rPr>
          <w:rFonts w:ascii="Arial" w:hAnsi="Arial"/>
        </w:rPr>
        <w:t xml:space="preserve"> para esta tarefa; onde parecem contribuir, é por sobreposição com sinal já capturado por outras características, e sua adição introduz ruído que reduz o desempenho de generalização.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O motivo de adotarmos o protocolo anti-vazamento fica evidente ao isolar o papel da posição bruta do resíduo. Sob validação cruzada </w:t>
      </w:r>
      <w:r>
        <w:rPr>
          <w:rFonts w:ascii="Arial" w:hAnsi="Arial"/>
          <w:b/>
        </w:rPr>
        <w:t>ingênua</w:t>
      </w:r>
      <w:r>
        <w:rPr>
          <w:rFonts w:ascii="Arial" w:hAnsi="Arial"/>
        </w:rPr>
        <w:t xml:space="preserve"> (sem bloqueio por grupo, ainda comum na literatura), a posição usada </w:t>
      </w:r>
      <w:r>
        <w:rPr>
          <w:rFonts w:ascii="Arial" w:hAnsi="Arial"/>
          <w:b/>
        </w:rPr>
        <w:t>isoladamente</w:t>
      </w:r>
      <w:r>
        <w:rPr>
          <w:rFonts w:ascii="Arial" w:hAnsi="Arial"/>
        </w:rPr>
        <w:t xml:space="preserve"> como única característica atinge AUC de ~0,885, e o gene isolado, ~0,640 — valores artificialmente altos, pois muitas variantes de uma mesma posição compartilham rótulo e aparecem simultaneamente no treino e no teste, levando o modelo a "decorar" posições em vez de aprender biologia. Esse padrão de memorização é exatamente o que infla os conjuntos que incluem a posição bruta na Tabela 1 (Identidade e Bioquímico), motivando o protocolo de bloqueio por posição adotado em todo este trabalho. Este é o alerta metodológico central: </w:t>
      </w:r>
      <w:r>
        <w:rPr>
          <w:rFonts w:ascii="Arial" w:hAnsi="Arial"/>
          <w:b/>
        </w:rPr>
        <w:t>benchmarks internos que não bloqueiam a posição superestimam sistematicamente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independentes, como resume a Tabela 3.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4 e 5 ilustram a base biológica desse resultado. A Figura 4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5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8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consciente de domínio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6.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7).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8).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consciente de domínio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9), indicando probabilidades bem calibradas — propriedade importante para uso como apoio à decisão, e não apenas ordenação. A Figura 10 complementa essa análise com as curvas ROC completas dos três modelos nas coortes externas, visualizando a mesma separação de desempenho já quantificada na Tabela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Curva de calibração (confiabilidade) e escore de Brier do modelo consciente de domínio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6346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63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10.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11,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consciente de domínio).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1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11.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 xml:space="preserve">) estão versionados e cobertos por testes automatizados. O código-fonte completo, os testes, os scripts de análise e as figuras estão disponíveis no repositório público do projeto: </w:t>
      </w:r>
      <w:r>
        <w:rPr>
          <w:rFonts w:ascii="Arial" w:hAnsi="Arial"/>
          <w:b/>
        </w:rPr>
        <w:t>https://github.com/WesleyCapucho/primevarclass</w:t>
      </w:r>
      <w:r>
        <w:rPr>
          <w:rFonts w:ascii="Arial" w:hAnsi="Arial"/>
        </w:rPr>
        <w:t>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Mecanismo BRCA1/BRCA2 no reparo do DNA e o câncer hereditário de mama e ovário (HBOC).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Consequência estrutural de variantes patogênicas (sítio de zinco do RING; mutante BRCT M1775R).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10.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11.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>Lista completa, em ordem alfabética (sistema autor-data, NBR 6023), de todas as referências efetivamente citadas no corpo deste artigo. Fontes primárias adicionais consultadas na revisão de literatura, mas não citadas diretamente no texto, estão disponíveis para consulta e transparência em [`referencias_abnt.md`](referencias_abnt.md) (52 registros, com DOIs, recuperados via PubMed/NLM).</w:t>
      </w:r>
    </w:p>
    <w:p>
      <w:pPr>
        <w:jc w:val="both"/>
      </w:pPr>
      <w:r>
        <w:rPr>
          <w:rFonts w:ascii="Arial" w:hAnsi="Arial"/>
        </w:rPr>
        <w:t xml:space="preserve">1.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</w:rPr>
        <w:t xml:space="preserve">2.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3.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</w:rPr>
        <w:t xml:space="preserve">5. FAVALLI, V. et al. Machine learning-based reclassification of germline variants of unknown significance: the RENOVO algorithm.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108, n. 4, p. 682-695, 2021. DOI: 10.1016/j.ajhg.2021.03.010.</w:t>
      </w:r>
    </w:p>
    <w:p>
      <w:pPr>
        <w:jc w:val="both"/>
      </w:pPr>
      <w:r>
        <w:rPr>
          <w:rFonts w:ascii="Arial" w:hAnsi="Arial"/>
        </w:rPr>
        <w:t xml:space="preserve">6. FERNANDES, G. C. et al. Differential profile of BRCA1 vs. BRCA2 mutated families: a characterization of the main differences and similarities in patients. </w:t>
      </w:r>
      <w:r>
        <w:rPr>
          <w:rFonts w:ascii="Arial" w:hAnsi="Arial"/>
          <w:b/>
        </w:rPr>
        <w:t>Asian Pac J Cancer Prev</w:t>
      </w:r>
      <w:r>
        <w:rPr>
          <w:rFonts w:ascii="Arial" w:hAnsi="Arial"/>
        </w:rPr>
        <w:t>, v. 20, n. 6, p. 1655-1660, 2019. DOI: 10.31557/APJCP.2019.20.6.1655.</w:t>
      </w:r>
    </w:p>
    <w:p>
      <w:pPr>
        <w:jc w:val="both"/>
      </w:pPr>
      <w:r>
        <w:rPr>
          <w:rFonts w:ascii="Arial" w:hAnsi="Arial"/>
        </w:rPr>
        <w:t xml:space="preserve">7.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</w:rPr>
        <w:t xml:space="preserve">8.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</w:rPr>
        <w:t xml:space="preserve">9.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10.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11.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12. LASTA, J. L.; GROTO, A. D.; BRANDALIZE, A. P. C. Assessment of medical knowledge toward genetic testing for individuals with hereditary breast and ovarian cancer syndrome in Brazil. </w:t>
      </w:r>
      <w:r>
        <w:rPr>
          <w:rFonts w:ascii="Arial" w:hAnsi="Arial"/>
          <w:b/>
        </w:rPr>
        <w:t>Prev Med Rep</w:t>
      </w:r>
      <w:r>
        <w:rPr>
          <w:rFonts w:ascii="Arial" w:hAnsi="Arial"/>
        </w:rPr>
        <w:t>, v. 35, p. 102356, 2023. DOI: 10.1016/j.pmedr.2023.102356.</w:t>
      </w:r>
    </w:p>
    <w:p>
      <w:pPr>
        <w:jc w:val="both"/>
      </w:pPr>
      <w:r>
        <w:rPr>
          <w:rFonts w:ascii="Arial" w:hAnsi="Arial"/>
        </w:rPr>
        <w:t xml:space="preserve">13.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14.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15. NORONHA, M. M. et al. Beyond 1100delC: distinct CHEK2 variants and unique cancer phenotypes in Northeast Brazil. </w:t>
      </w:r>
      <w:r>
        <w:rPr>
          <w:rFonts w:ascii="Arial" w:hAnsi="Arial"/>
          <w:b/>
        </w:rPr>
        <w:t>Fam Cancer</w:t>
      </w:r>
      <w:r>
        <w:rPr>
          <w:rFonts w:ascii="Arial" w:hAnsi="Arial"/>
        </w:rPr>
        <w:t>, v. 25, n. 1, p. 8, 2026. DOI: 10.1007/s10689-025-00526-z.</w:t>
      </w:r>
    </w:p>
    <w:p>
      <w:pPr>
        <w:jc w:val="both"/>
      </w:pPr>
      <w:r>
        <w:rPr>
          <w:rFonts w:ascii="Arial" w:hAnsi="Arial"/>
        </w:rPr>
        <w:t xml:space="preserve">16. PALMERO, E. I. et al. Clinical characterization and risk profile of individuals seeking genetic counseling for hereditary breast cancer in Brazil. </w:t>
      </w:r>
      <w:r>
        <w:rPr>
          <w:rFonts w:ascii="Arial" w:hAnsi="Arial"/>
          <w:b/>
        </w:rPr>
        <w:t>J Genet Couns</w:t>
      </w:r>
      <w:r>
        <w:rPr>
          <w:rFonts w:ascii="Arial" w:hAnsi="Arial"/>
        </w:rPr>
        <w:t>, v. 16, n. 3, p. 363-71, 2007. DOI: 10.1007/s10897-006-9073-0.</w:t>
      </w:r>
    </w:p>
    <w:p>
      <w:pPr>
        <w:jc w:val="both"/>
      </w:pPr>
      <w:r>
        <w:rPr>
          <w:rFonts w:ascii="Arial" w:hAnsi="Arial"/>
        </w:rPr>
        <w:t xml:space="preserve">17. PARSONS, M. T. et al. Large scale multifactorial likelihood quantitative analysis of BRCA1 and BRCA2 variants: an ENIGMA resource to support clinical variant classification.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18.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19.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20. RIBEIRO, A. A. F. et al. Molecular characterization of hereditary breast and ovarian cancer patients from a public precision medicine service in the Southeast Brazilian population. </w:t>
      </w:r>
      <w:r>
        <w:rPr>
          <w:rFonts w:ascii="Arial" w:hAnsi="Arial"/>
          <w:b/>
        </w:rPr>
        <w:t>Sci Rep</w:t>
      </w:r>
      <w:r>
        <w:rPr>
          <w:rFonts w:ascii="Arial" w:hAnsi="Arial"/>
        </w:rPr>
        <w:t>, v. 15, n. 1, p. 33495, 2025. DOI: 10.1038/s41598-025-16870-0.</w:t>
      </w:r>
    </w:p>
    <w:p>
      <w:pPr>
        <w:jc w:val="both"/>
      </w:pPr>
      <w:r>
        <w:rPr>
          <w:rFonts w:ascii="Arial" w:hAnsi="Arial"/>
        </w:rPr>
        <w:t xml:space="preserve">21. RICHARDS, S. et al. Standards and guidelines for the interpretation of sequence variants: a joint consensus recommendation of the American College of Medical Genetics and Genomics and the Association for Molecular Pathology.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22. TIAN, Y. et al. REVEL and BayesDel outperform other in silico meta-predictors for clinical variant classification. </w:t>
      </w:r>
      <w:r>
        <w:rPr>
          <w:rFonts w:ascii="Arial" w:hAnsi="Arial"/>
          <w:b/>
        </w:rPr>
        <w:t>Sci Rep</w:t>
      </w:r>
      <w:r>
        <w:rPr>
          <w:rFonts w:ascii="Arial" w:hAnsi="Arial"/>
        </w:rPr>
        <w:t>, v. 9, n. 1, p. 12752, 2019. DOI: 10.1038/s41598-019-49224-8.</w:t>
      </w:r>
    </w:p>
    <w:p>
      <w:pPr>
        <w:jc w:val="both"/>
      </w:pPr>
      <w:r>
        <w:rPr>
          <w:rFonts w:ascii="Arial" w:hAnsi="Arial"/>
        </w:rPr>
        <w:t xml:space="preserve">23. TOLAND, A. E.; ANDREASSEN, P. R. DNA repair-related functional assays for the classification of BRCA1 and BRCA2 variants: a critical review and needs assessment.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24.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25. UNIPROT CONSORTIUM, THE.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p>
      <w:pPr>
        <w:jc w:val="both"/>
      </w:pPr>
      <w:r>
        <w:rPr>
          <w:rFonts w:ascii="Arial" w:hAnsi="Arial"/>
        </w:rPr>
        <w:t xml:space="preserve">26.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27.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