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 xml:space="preserve">4. Comparar esse modelo, de forma honesta,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 xml:space="preserve">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 xml:space="preserve">Comparação honesta,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 xml:space="preserve">A diferença é uma tendência não significativa na CV interna (p = 0,081), mas significativa na generalização externa (p = 0,045) — e adicionar primos a um modelo bioquímico piora o desempenho externo (p &lt; 0,0001). A conclusão é honesta: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418119"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418119"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389120"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389120"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 xml:space="preserve">Vazamento a favor de terceiros: a comparação honesta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honesta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572000"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572000"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 xml:space="preserve">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 xml:space="preserve">Discussão: honestidade metodológica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não está no AUC bruto — comparação estruturalmente injusta —,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 xml:space="preserve">O escopo permanece centrado em variantes missense de BRCA1/BRCA2, com a receita completa (domínio + ESM-2) estendida ao TP53 e ao ATM; ainda assim é estreita — PALB2 e CHEK2 têm missense definitivas em número insuficiente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