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Autor:</w:t>
      </w:r>
      <w:r>
        <w:rPr>
          <w:rFonts w:ascii="Arial" w:hAnsi="Arial"/>
          <w:sz w:val="22"/>
        </w:rPr>
        <w:t xml:space="preserve"> Wesley Felipe Capucho — graduando em Engenharia Bioquímica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do(a) orientador(a) — a preencher⟩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Escola de Engenharia de Lorena, Universidade de São Paulo (EEL-USP) — Estrada Municipal do Campinho, s/nº, Ponte Nova, Lorena – SP, CEP 12602-810. Telefone: ⟨a preencher⟩. E-mail: wesleycapucho@usp.br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Escola de Engenharia de Lorena, Universidade de São Paulo (EEL-USP), Lorena – SP, Brasil.</w:t>
      </w:r>
    </w:p>
    <w:p>
      <w:pPr>
        <w:spacing w:after="40"/>
      </w:pPr>
      <w:r>
        <w:rPr>
          <w:rFonts w:ascii="Arial" w:hAnsi="Arial"/>
          <w:i/>
          <w:sz w:val="22"/>
        </w:rPr>
        <w:t>Formatação: A4, fonte Arial, corpo 12, espaçamento 1,5, em Língua Portuguesa (item 2.2.2 do Edital). Campos restantes entre ⟨…⟩ (nome do orientador e telefone institucional) a preencher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gnomAD, sob o mesmo protocolo rigoroso usado em todo o trabalho (validação cruzada bloqueada por posição e generalização em coortes externas).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mesmo nesse regime rigoroso, características derivadas de primos tiveram desempenho inferior ao de uma identidade trivial de aminoácidos sem posição (AUC externa 0,681 vs. 0,718; DeLong p = 0,045)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(AUC externa 0,791 → 0,765;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bruta do resíduo, quando avaliada sob validação ingênua (sem bloqueio), memoriza os dados de treino (AUC de ~0,885) mas essa memorização não se sustenta sob validação rigorosa nem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>, superando o modelo que usa posição bruta (0,791; DeLong p = 1,8 × 10⁻¹³) — evidência de que capturamos biologia transferível, não memorização. Ao combiná-lo com um modelo de linguagem de proteínas (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), avaliado sob o mesmo protocolo, o modelo-carro-chefe (domínio + ESM-2) atinge </w:t>
      </w:r>
      <w:r>
        <w:rPr>
          <w:rFonts w:ascii="Arial" w:hAnsi="Arial"/>
          <w:b/>
        </w:rPr>
        <w:t>AUC externa de 0,909</w:t>
      </w:r>
      <w:r>
        <w:rPr>
          <w:rFonts w:ascii="Arial" w:hAnsi="Arial"/>
        </w:rPr>
        <w:t xml:space="preserve"> (DeLong p = 1,5 × 10⁻¹⁰), e sua explicabilidade é demonstrada por valores de Shapley. O sistema é entregue como plataforma aberta, reprodutível e auditável.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A base biológica desse problema reside na função de BRCA1 e BRCA2 na manutenção da integridade do genoma. Ambas são essenciais ao reparo de quebras de dupla fita do DNA pela via de </w:t>
      </w:r>
      <w:r>
        <w:rPr>
          <w:rFonts w:ascii="Arial" w:hAnsi="Arial"/>
          <w:b/>
        </w:rPr>
        <w:t>recombinação homóloga (RH)</w:t>
      </w:r>
      <w:r>
        <w:rPr>
          <w:rFonts w:ascii="Arial" w:hAnsi="Arial"/>
        </w:rPr>
        <w:t>, de alta fidelidade: BRCA2 controla o carregamento da recombinase RAD51 sobre o DNA de fita simples, enquanto BRCA1, em complexo com BARD1, atua na sinalização e no processamento do dano. Quando uma variante germinativa compromete essa função, a RH torna-se deficiente e a célula recorre a mecanismos de reparo propensos a erro, acumulando mutações e instabilidade genômica — o substrato da transformação maligna. Clinicamente, isso se traduz em risco elevado e precoce de câncer de mama e de ovário, com penetrância cumulativa que pode ultrapassar 70% ao longo da vida, e fundamenta tanto estratégias de redução de risco quanto terapias-alvo (inibidores de PARP). A Figura 1 sintetiza esse mecanismo.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56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ease_mechani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56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Mecanismo biológico que conecta as proteínas BRCA1/BRCA2 ao câncer hereditário de mama e ovário (HBOC). À esquerda (verde), em uma célula com BRCA1/BRCA2 funcionais, uma quebra de dupla fita no DNA é reparada com fidelidade pela via de recombinação homóloga (RH) — na qual essas proteínas recrutam a recombinase RAD51 —, mantendo a estabilidade genômica e protegendo contra o câncer. À direita (vermelho), uma variante patogênica germinativa (por exemplo, Cys61Gly no domínio RING ou Met1775Arg no domínio BRCT do BRCA1) compromete um domínio funcional crítico, tornando a RH deficiente; o DNA passa a ser reparado por vias propensas a erro, com acúmulo de mutações, instabilidade genômica e, por fim, tumorigênese. A penetrância é elevada (risco cumulativo de câncer de mama de ~45–72% e de ovário de ~11–44% ao longo da vida em portadoras de BRCA1/BRCA2) e a deficiência de RH é explorada terapeuticamente por inibidores de PARP (letalidade sintética). Este é o contexto clínico que torna crítica a classificação precisa das variantes.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P51587), conforme a base de dados UniProt (UniProt Consortium, 2023):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 (Karczewski et al., 2020).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jc w:val="both"/>
      </w:pPr>
      <w:r>
        <w:rPr>
          <w:rFonts w:ascii="Arial" w:hAnsi="Arial"/>
        </w:rPr>
        <w:t>As proteínas-alvo e seus domínios funcionais são apresentados na Figura 2, a partir de estruturas experimentais reais depositadas no Protein Data Bank (PDB).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289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289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Estruturas tridimensionais experimentais das proteínas-alvo, em representação de </w:t>
      </w:r>
      <w:r>
        <w:rPr>
          <w:rFonts w:ascii="Arial" w:hAnsi="Arial"/>
          <w:i/>
          <w:sz w:val="20"/>
        </w:rPr>
        <w:t>cartoon</w:t>
      </w:r>
      <w:r>
        <w:rPr>
          <w:rFonts w:ascii="Arial" w:hAnsi="Arial"/>
          <w:i/>
          <w:sz w:val="20"/>
        </w:rPr>
        <w:t xml:space="preserve"> (coordenadas reais do Protein Data Bank, renderizadas com PyMOL open-source). </w:t>
      </w:r>
      <w:r>
        <w:rPr>
          <w:rFonts w:ascii="Arial" w:hAnsi="Arial"/>
          <w:b/>
          <w:i/>
          <w:sz w:val="20"/>
        </w:rPr>
        <w:t>BRCA1 — domínio RING</w:t>
      </w:r>
      <w:r>
        <w:rPr>
          <w:rFonts w:ascii="Arial" w:hAnsi="Arial"/>
          <w:i/>
          <w:sz w:val="20"/>
        </w:rPr>
        <w:t xml:space="preserve"> (PDB 1JM7): heterodímero BRCA1 (verde) / BARD1 (ciano); os íons de zinco (esferas roxas) são coordenados por cisteínas (bastões vermelhos) que formam o núcleo estrutural do domínio — região onde se concentram variantes patogênicas de perda de função (por exemplo, Cys61 e Cys64). </w:t>
      </w:r>
      <w:r>
        <w:rPr>
          <w:rFonts w:ascii="Arial" w:hAnsi="Arial"/>
          <w:b/>
          <w:i/>
          <w:sz w:val="20"/>
        </w:rPr>
        <w:t>BRCA1 — repetições BRCT</w:t>
      </w:r>
      <w:r>
        <w:rPr>
          <w:rFonts w:ascii="Arial" w:hAnsi="Arial"/>
          <w:i/>
          <w:sz w:val="20"/>
        </w:rPr>
        <w:t xml:space="preserve"> (PDB 1JNX): domínio crítico C-terminal de reconhecimento de fosfopeptídeos (coloração do N-terminal, azul, ao C-terminal, vermelho). </w:t>
      </w:r>
      <w:r>
        <w:rPr>
          <w:rFonts w:ascii="Arial" w:hAnsi="Arial"/>
          <w:b/>
          <w:i/>
          <w:sz w:val="20"/>
        </w:rPr>
        <w:t>BRCA2 — domínio de ligação ao DNA</w:t>
      </w:r>
      <w:r>
        <w:rPr>
          <w:rFonts w:ascii="Arial" w:hAnsi="Arial"/>
          <w:i/>
          <w:sz w:val="20"/>
        </w:rPr>
        <w:t xml:space="preserve"> (PDB 1MJE): BRCA2 (verde) em complexo com DSS1 (ciano) e ssDNA (laranja), conforme Yang et al. (2002). As três regiões em destaque são os domínios funcionais críticos usados pelo modelo consciente de domínio.</w:t>
      </w:r>
    </w:p>
    <w:p>
      <w:pPr>
        <w:jc w:val="both"/>
      </w:pPr>
      <w:r>
        <w:rPr>
          <w:rFonts w:ascii="Arial" w:hAnsi="Arial"/>
        </w:rPr>
        <w:t>A importância dessas regiões torna-se evidente ao observar o efeito estrutural de variantes patogênicas conhecidas (Figura 3). No domínio RING, cisteínas como Cys61 e Cys64 coordenam um íon de zinco estrutural; substituições como p.Cys61Gly e p.Cys64Gly removem esses ligantes, colapsam o domínio e abolem a atividade de E3-ligase e a interação com BARD1. No domínio BRCT, a variante p.Met1775Arg desestabiliza a interface entre as duas repetições e prejudica o reconhecimento de fosfopeptídeos. Ou seja, as mutações patogênicas danificam precisamente as regiões que o modelo consciente de domínio identifica como críticas — a base biológica que sustenta a abordagem.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8466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tation_con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84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Consequência estrutural de variantes patogênicas nos domínios críticos do BRCA1, a partir de estruturas experimentais reais (renderização com PyMOL open-source). </w:t>
      </w:r>
      <w:r>
        <w:rPr>
          <w:rFonts w:ascii="Arial" w:hAnsi="Arial"/>
          <w:b/>
          <w:i/>
          <w:sz w:val="20"/>
        </w:rPr>
        <w:t>(A)</w:t>
      </w:r>
      <w:r>
        <w:rPr>
          <w:rFonts w:ascii="Arial" w:hAnsi="Arial"/>
          <w:i/>
          <w:sz w:val="20"/>
        </w:rPr>
        <w:t xml:space="preserve"> Sítio de coordenação de zinco no domínio RING (PDB 1JM7): o íon Zn²⁺ (esfera roxa) é mantido por cisteínas, entre elas Cys61 e Cys64 (bastões vermelhos, rotulados). Variantes patogênicas clássicas como p.Cys61Gly e p.Cys64Gly substituem essas cisteínas, abolindo a coordenação do zinco e desestruturando o domínio. </w:t>
      </w:r>
      <w:r>
        <w:rPr>
          <w:rFonts w:ascii="Arial" w:hAnsi="Arial"/>
          <w:b/>
          <w:i/>
          <w:sz w:val="20"/>
        </w:rPr>
        <w:t>(B)</w:t>
      </w:r>
      <w:r>
        <w:rPr>
          <w:rFonts w:ascii="Arial" w:hAnsi="Arial"/>
          <w:i/>
          <w:sz w:val="20"/>
        </w:rPr>
        <w:t xml:space="preserve"> Domínio BRCT (PDB 1N5O) contendo a variante patogênica p.Met1775Arg: o resíduo 1775 (bastões vermelhos) situa-se na interface entre as duas repetições BRCT, e sua substituição desestabiliza o dobramento e compromete a função. Em ambos os casos, a mutação danifica exatamente a região funcional crítica — a mesma informação de região que o modelo utiliza para generalizar.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 xml:space="preserve"> (DeLong; DeLong; Clarke-Pearson, 1988).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2"/>
      </w:pPr>
      <w:r>
        <w:t>2.9 Escore de aprendizado profundo (ESM-2) e explicabilidade (SHAP)</w:t>
      </w:r>
    </w:p>
    <w:p>
      <w:pPr>
        <w:jc w:val="both"/>
      </w:pPr>
      <w:r>
        <w:rPr>
          <w:rFonts w:ascii="Arial" w:hAnsi="Arial"/>
        </w:rPr>
        <w:t xml:space="preserve">Cada variante foi pontuada com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facebook/esm2_t33_650M_UR50D</w:t>
      </w:r>
      <w:r>
        <w:rPr>
          <w:rFonts w:ascii="Arial" w:hAnsi="Arial"/>
        </w:rPr>
        <w:t xml:space="preserve">, 650 milhões de parâmetros; Lin et al., 2023) por razão de verossimilhança logarítmica (LLR) </w:t>
      </w:r>
      <w:r>
        <w:rPr>
          <w:rFonts w:ascii="Arial" w:hAnsi="Arial"/>
          <w:i/>
        </w:rPr>
        <w:t>masked-marginal</w:t>
      </w:r>
      <w:r>
        <w:rPr>
          <w:rFonts w:ascii="Arial" w:hAnsi="Arial"/>
        </w:rPr>
        <w:t xml:space="preserve">: para uma posição </w:t>
      </w:r>
      <w:r>
        <w:rPr>
          <w:rFonts w:ascii="Arial" w:hAnsi="Arial"/>
          <w:i/>
        </w:rPr>
        <w:t>p</w:t>
      </w:r>
      <w:r>
        <w:rPr>
          <w:rFonts w:ascii="Arial" w:hAnsi="Arial"/>
        </w:rPr>
        <w:t xml:space="preserve">, mascaramos o resíduo e computamos log P(alt | contexto) − log P(ref | contexto). Como BRCA1 (1.863 aa) e BRCA2 (3.418 aa) excedem o contexto do modelo, cada posição é avaliada em uma </w:t>
      </w:r>
      <w:r>
        <w:rPr>
          <w:rFonts w:ascii="Arial" w:hAnsi="Arial"/>
          <w:b/>
        </w:rPr>
        <w:t>janela</w:t>
      </w:r>
      <w:r>
        <w:rPr>
          <w:rFonts w:ascii="Arial" w:hAnsi="Arial"/>
        </w:rPr>
        <w:t xml:space="preserve"> de ±511 resíduos. Os escores são ingeridos pelo módulo reprodutível 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 e expostos como a característica </w:t>
      </w:r>
      <w:r>
        <w:rPr>
          <w:rFonts w:ascii="Consolas" w:hAnsi="Consolas"/>
        </w:rPr>
        <w:t>esm2_llr</w:t>
      </w:r>
      <w:r>
        <w:rPr>
          <w:rFonts w:ascii="Arial" w:hAnsi="Arial"/>
        </w:rPr>
        <w:t xml:space="preserve"> do conjunto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. A robustez foi verificada reexecutando toda a pontuação com uma variante menor do ESM-2 (150M), obtendo LLRs fortemente correlacionados (Pearson 0,87) e conclusões idênticas. A </w:t>
      </w:r>
      <w:r>
        <w:rPr>
          <w:rFonts w:ascii="Arial" w:hAnsi="Arial"/>
          <w:b/>
        </w:rPr>
        <w:t>explicabilidade</w:t>
      </w:r>
      <w:r>
        <w:rPr>
          <w:rFonts w:ascii="Arial" w:hAnsi="Arial"/>
        </w:rPr>
        <w:t xml:space="preserve"> do modelo foi quantificada por </w:t>
      </w:r>
      <w:r>
        <w:rPr>
          <w:rFonts w:ascii="Arial" w:hAnsi="Arial"/>
          <w:b/>
        </w:rPr>
        <w:t>valores de Shapley</w:t>
      </w:r>
      <w:r>
        <w:rPr>
          <w:rFonts w:ascii="Arial" w:hAnsi="Arial"/>
        </w:rPr>
        <w:t xml:space="preserve"> (SHAP; estimador </w:t>
      </w:r>
      <w:r>
        <w:rPr>
          <w:rFonts w:ascii="Arial" w:hAnsi="Arial"/>
          <w:i/>
        </w:rPr>
        <w:t>TreeExplainer</w:t>
      </w:r>
      <w:r>
        <w:rPr>
          <w:rFonts w:ascii="Arial" w:hAnsi="Arial"/>
        </w:rPr>
        <w:t>) sobre a floresta aleatória treinada na coorte interna.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Testamos a hipótese sob o mesmo protocolo anti-vazamento descrito na Seção 2.5 — validação cruzada bloqueada por posição e generalização em coortes externas independentes —, com o mesmo classificador para todos os conjuntos de características (Tabela 1). Sob esse protocolo,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na refutação da hipótese dos primos, sob o protocolo anti-vazamento (mesmo classificador e mesma amostra de treino, n = 869; ver Seção 2.5).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 + posição)ᵃ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0,871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0,882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(inclui gene e posição)ᵃ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0,783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0,765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aa_alt, sem posição)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0,745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0,718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0,681</w:t>
            </w:r>
          </w:p>
        </w:tc>
      </w:tr>
    </w:tbl>
    <w:p/>
    <w:p>
      <w:pPr>
        <w:jc w:val="both"/>
      </w:pPr>
      <w:r>
        <w:rPr>
          <w:rFonts w:ascii="Arial" w:hAnsi="Arial"/>
        </w:rPr>
        <w:t>ᵃ Por definição do pipeline de características, estes três conjuntos incluem o gene e a posição bruta do resíduo. O risco de memorização associado à posição é diagnosticado na Seção 3.2 e removido explicitamente no modelo proposto (Tabela 3).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pelo teste de DeLong (DeLong; DeLong; Clarke-Pearson, 1988), sob o mesmo protocolo anti-vazamento (Tabela 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Protocolo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 (sem posição)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CV bloqueada por posição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0,745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0,081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 (sem posição)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Coortes externas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0,681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−0,038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0,045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apenas-bioquímicoᵇ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Coortes externas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0,765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−0,026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>ᵇ Ambos os conjuntos incluem igualmente gene e posição (nota da Tabela 1); a comparação isola o efeito marginal de adicionar as características derivadas de primos.</w:t>
      </w:r>
    </w:p>
    <w:p>
      <w:pPr>
        <w:jc w:val="both"/>
      </w:pPr>
      <w:r>
        <w:rPr>
          <w:rFonts w:ascii="Arial" w:hAnsi="Arial"/>
        </w:rPr>
        <w:t xml:space="preserve">Mesmo sob o protocolo mais rigoroso, os primos não superam a identidade trivial: a diferença é uma tendência não significativa na validação cruzada interna (p = 0,081), mas torna-se estatisticamente significativa no teste mais decisivo — a generalização externa (p = 0,045). E quando adicionados a um modelo bioquímico já estabelecido, os primos </w:t>
      </w:r>
      <w:r>
        <w:rPr>
          <w:rFonts w:ascii="Arial" w:hAnsi="Arial"/>
          <w:b/>
        </w:rPr>
        <w:t>pioram</w:t>
      </w:r>
      <w:r>
        <w:rPr>
          <w:rFonts w:ascii="Arial" w:hAnsi="Arial"/>
        </w:rPr>
        <w:t xml:space="preserve"> o desempenho de forma inequívoca nas coortes externas (p &lt; 0,0001). A conclusão é honesta e reprodutível: </w:t>
      </w:r>
      <w:r>
        <w:rPr>
          <w:rFonts w:ascii="Arial" w:hAnsi="Arial"/>
          <w:b/>
        </w:rPr>
        <w:t>os números primos não agregam sinal preditivo útil</w:t>
      </w:r>
      <w:r>
        <w:rPr>
          <w:rFonts w:ascii="Arial" w:hAnsi="Arial"/>
        </w:rPr>
        <w:t xml:space="preserve"> para esta tarefa; onde parecem contribuir, é por sobreposição com sinal já capturado por outras características, e sua adição introduz ruído que reduz o desempenho de generalização.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O motivo de adotarmos o protocolo anti-vazamento fica evidente ao isolar o papel da posição bruta do resíduo. Sob validação cruzada </w:t>
      </w:r>
      <w:r>
        <w:rPr>
          <w:rFonts w:ascii="Arial" w:hAnsi="Arial"/>
          <w:b/>
        </w:rPr>
        <w:t>ingênua</w:t>
      </w:r>
      <w:r>
        <w:rPr>
          <w:rFonts w:ascii="Arial" w:hAnsi="Arial"/>
        </w:rPr>
        <w:t xml:space="preserve"> (sem bloqueio por grupo, ainda comum na literatura), a posição usada </w:t>
      </w:r>
      <w:r>
        <w:rPr>
          <w:rFonts w:ascii="Arial" w:hAnsi="Arial"/>
          <w:b/>
        </w:rPr>
        <w:t>isoladamente</w:t>
      </w:r>
      <w:r>
        <w:rPr>
          <w:rFonts w:ascii="Arial" w:hAnsi="Arial"/>
        </w:rPr>
        <w:t xml:space="preserve"> como única característica atinge AUC de ~0,885, e o gene isolado, ~0,640 — valores artificialmente altos, pois muitas variantes de uma mesma posição compartilham rótulo e aparecem simultaneamente no treino e no teste, levando o modelo a "decorar" posições em vez de aprender biologia. Esse padrão de memorização é exatamente o que infla os conjuntos que incluem a posição bruta na Tabela 1 (Identidade e Bioquímico), motivando o protocolo de bloqueio por posição adotado em todo este trabalho. Este é o alerta metodológico central: </w:t>
      </w:r>
      <w:r>
        <w:rPr>
          <w:rFonts w:ascii="Arial" w:hAnsi="Arial"/>
          <w:b/>
        </w:rPr>
        <w:t>benchmarks internos que não bloqueiam a posição superestimam sistematicamente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independentes, como resume a Tabela 3.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4 e 5 ilustram a base biológica desse resultado. A Figura 4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5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8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consciente de domínio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6.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7).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8).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consciente de domínio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9), indicando probabilidades bem calibradas — propriedade importante para uso como apoio à decisão, e não apenas ordenação. A Figura 10 complementa essa análise com as curvas ROC completas dos três modelos nas coortes externas, visualizando a mesma separação de desempenho já quantificada na Tabela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9.</w:t>
      </w:r>
      <w:r>
        <w:rPr>
          <w:rFonts w:ascii="Arial" w:hAnsi="Arial"/>
          <w:i/>
          <w:sz w:val="20"/>
        </w:rPr>
        <w:t xml:space="preserve"> Curva de calibração (confiabilidade) e escore de Brier do modelo consciente de domínio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6346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63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10.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11,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consciente de domínio).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16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11.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Aprendizado profundo autêntico: o modelo-carro-chefe domínio + ESM-2</w:t>
      </w:r>
    </w:p>
    <w:p>
      <w:pPr>
        <w:jc w:val="both"/>
      </w:pPr>
      <w:r>
        <w:rPr>
          <w:rFonts w:ascii="Arial" w:hAnsi="Arial"/>
        </w:rPr>
        <w:t xml:space="preserve">Como camada ortogonal e cientificamente legítima, integramos 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— um modelo de linguagem de proteínas treinado de forma não supervisionada em dezenas de milhões de sequências, </w:t>
      </w:r>
      <w:r>
        <w:rPr>
          <w:rFonts w:ascii="Arial" w:hAnsi="Arial"/>
          <w:b/>
        </w:rPr>
        <w:t>sem qualquer rótulo de patogenicidade</w:t>
      </w:r>
      <w:r>
        <w:rPr>
          <w:rFonts w:ascii="Arial" w:hAnsi="Arial"/>
        </w:rPr>
        <w:t xml:space="preserve">. Cada substituição recebe um escore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</w:t>
      </w:r>
      <w:r>
        <w:rPr>
          <w:rFonts w:ascii="Arial" w:hAnsi="Arial"/>
          <w:i/>
        </w:rPr>
        <w:t>masked-marginal</w:t>
      </w:r>
      <w:r>
        <w:rPr>
          <w:rFonts w:ascii="Arial" w:hAnsi="Arial"/>
        </w:rPr>
        <w:t xml:space="preserve"> (Seção 2.9). Por derivar apenas da "gramática" evolutiva das sequências, o ESM-2 </w:t>
      </w:r>
      <w:r>
        <w:rPr>
          <w:rFonts w:ascii="Arial" w:hAnsi="Arial"/>
          <w:b/>
        </w:rPr>
        <w:t>não introduz circularidade</w:t>
      </w:r>
      <w:r>
        <w:rPr>
          <w:rFonts w:ascii="Arial" w:hAnsi="Arial"/>
        </w:rPr>
        <w:t xml:space="preserve"> com preditores existentes nem vaza rótulos. Pontuamos as 1.680 variantes com o ESM-2 (650M) com </w:t>
      </w:r>
      <w:r>
        <w:rPr>
          <w:rFonts w:ascii="Arial" w:hAnsi="Arial"/>
          <w:b/>
        </w:rPr>
        <w:t>100% de cobertura</w:t>
      </w:r>
      <w:r>
        <w:rPr>
          <w:rFonts w:ascii="Arial" w:hAnsi="Arial"/>
        </w:rPr>
        <w:t>; o sinal é biologicamente coerente (por exemplo, a variante p.Cys61Gly, no núcleo de coordenação de zinco do RING, recebe LLR = −10,9).</w:t>
      </w:r>
    </w:p>
    <w:p>
      <w:pPr>
        <w:jc w:val="both"/>
      </w:pPr>
      <w:r>
        <w:rPr>
          <w:rFonts w:ascii="Arial" w:hAnsi="Arial"/>
        </w:rPr>
        <w:t xml:space="preserve">Avaliado sob o mesmo protocolo anti-vazamento (Tabela 5), o ESM-2 revela-se um sinal poderoso, e sua combinação com a consciência de domínio constitui o </w:t>
      </w:r>
      <w:r>
        <w:rPr>
          <w:rFonts w:ascii="Arial" w:hAnsi="Arial"/>
          <w:b/>
        </w:rPr>
        <w:t>modelo-carro-chefe</w:t>
      </w:r>
      <w:r>
        <w:rPr>
          <w:rFonts w:ascii="Arial" w:hAnsi="Arial"/>
        </w:rPr>
        <w:t xml:space="preserve"> do sistema: a AUC externa sobe de 0,847 (domínio) para </w:t>
      </w:r>
      <w:r>
        <w:rPr>
          <w:rFonts w:ascii="Arial" w:hAnsi="Arial"/>
          <w:b/>
        </w:rPr>
        <w:t>0,909</w:t>
      </w:r>
      <w:r>
        <w:rPr>
          <w:rFonts w:ascii="Arial" w:hAnsi="Arial"/>
        </w:rPr>
        <w:t xml:space="preserve"> (domínio + ESM-2), uma melhora altamente significativa (DeLong </w:t>
      </w:r>
      <w:r>
        <w:rPr>
          <w:rFonts w:ascii="Arial" w:hAnsi="Arial"/>
          <w:i/>
        </w:rPr>
        <w:t>p</w:t>
      </w:r>
      <w:r>
        <w:rPr>
          <w:rFonts w:ascii="Arial" w:hAnsi="Arial"/>
        </w:rPr>
        <w:t xml:space="preserve"> = 1,5 × 10⁻¹⁰). Os dois sinais são </w:t>
      </w:r>
      <w:r>
        <w:rPr>
          <w:rFonts w:ascii="Arial" w:hAnsi="Arial"/>
          <w:b/>
        </w:rPr>
        <w:t>complementares</w:t>
      </w:r>
      <w:r>
        <w:rPr>
          <w:rFonts w:ascii="Arial" w:hAnsi="Arial"/>
        </w:rPr>
        <w:t xml:space="preserve"> — na validação bloqueada por posição, a combinação (0,882) supera tanto o domínio isolado (0,818) quanto o ESM-2 isolado (0,867).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5. Modelo-carro-chefe (domínio + ESM-2) sob o protocolo anti-vazamento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Consciente de domínio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0,818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ESM-2 (650M) sozinho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0,867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0,907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Domínio + ESM-2 (carro-chefe)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0,882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0,909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explicabilidade desse modelo é </w:t>
      </w:r>
      <w:r>
        <w:rPr>
          <w:rFonts w:ascii="Arial" w:hAnsi="Arial"/>
          <w:b/>
        </w:rPr>
        <w:t>demonstrada, não apenas afirmada</w:t>
      </w:r>
      <w:r>
        <w:rPr>
          <w:rFonts w:ascii="Arial" w:hAnsi="Arial"/>
        </w:rPr>
        <w:t>, por valores de Shapley (SHAP; Figura 12): as características de maior impacto são exatamente os dois pilares do método — o escore ESM-2 (</w:t>
      </w:r>
      <w:r>
        <w:rPr>
          <w:rFonts w:ascii="Consolas" w:hAnsi="Consolas"/>
        </w:rPr>
        <w:t>esm2_llr</w:t>
      </w:r>
      <w:r>
        <w:rPr>
          <w:rFonts w:ascii="Arial" w:hAnsi="Arial"/>
        </w:rPr>
        <w:t>) e a pertinência a domínio crítico (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>) —, seguidas por severidade bioquímica e identidade do gene, com direção de efeito biologicamente correta.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4679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467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12.</w:t>
      </w:r>
      <w:r>
        <w:rPr>
          <w:rFonts w:ascii="Arial" w:hAnsi="Arial"/>
          <w:i/>
          <w:sz w:val="20"/>
        </w:rPr>
        <w:t xml:space="preserve"> Explicabilidade por valores de Shapley (SHAP) do modelo domínio + ESM-2 na coorte interna. Cada ponto é uma variante; a posição horizontal é a contribuição (valor SHAP) da característica para a predição de patogenicidade, e a cor codifica o valor da característica (azul = baixo, vermelho = alto). O escore ESM-2 (</w:t>
      </w:r>
      <w:r>
        <w:rPr>
          <w:rFonts w:ascii="Consolas" w:hAnsi="Consolas"/>
          <w:i/>
          <w:sz w:val="20"/>
        </w:rPr>
        <w:t>esm2_llr</w:t>
      </w:r>
      <w:r>
        <w:rPr>
          <w:rFonts w:ascii="Arial" w:hAnsi="Arial"/>
          <w:i/>
          <w:sz w:val="20"/>
        </w:rPr>
        <w:t>) é o preditor dominante — valores baixos, isto é, LLR muito negativo (deletério), empurram a predição para patogênico —, seguido de perto pela pertinência a domínio crítico (</w:t>
      </w:r>
      <w:r>
        <w:rPr>
          <w:rFonts w:ascii="Consolas" w:hAnsi="Consolas"/>
          <w:i/>
          <w:sz w:val="20"/>
        </w:rPr>
        <w:t>in_critical_domain</w:t>
      </w:r>
      <w:r>
        <w:rPr>
          <w:rFonts w:ascii="Arial" w:hAnsi="Arial"/>
          <w:i/>
          <w:sz w:val="20"/>
        </w:rPr>
        <w:t>). O padrão confirma que o modelo raciocina sobre biologia interpretável, e não como uma caixa-preta.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>) nem julgamento clínico.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Três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estender a anotação consciente de domínio e a pontuação ESM-2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do modelo-carro-chefe em forças de evidência utilizáveis por comissões de classificação.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Combinado a um modelo de linguagem de proteínas autêntico (ESM-2), o modelo-carro-chefe alcança </w:t>
      </w:r>
      <w:r>
        <w:rPr>
          <w:rFonts w:ascii="Arial" w:hAnsi="Arial"/>
          <w:b/>
        </w:rPr>
        <w:t>AUC externa de 0,909</w:t>
      </w:r>
      <w:r>
        <w:rPr>
          <w:rFonts w:ascii="Arial" w:hAnsi="Arial"/>
        </w:rPr>
        <w:t xml:space="preserve">, com explicabilidade demonstrada por valores de Shapley.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aberto e reexecutável</w:t>
      </w:r>
      <w:r>
        <w:rPr>
          <w:rFonts w:ascii="Arial" w:hAnsi="Arial"/>
        </w:rPr>
        <w:t xml:space="preserve">, disponível no repositório público do projeto — </w:t>
      </w:r>
      <w:r>
        <w:rPr>
          <w:rFonts w:ascii="Arial" w:hAnsi="Arial"/>
          <w:b/>
        </w:rPr>
        <w:t>https://github.com/WesleyCapucho/primevarclass</w:t>
      </w:r>
      <w:r>
        <w:rPr>
          <w:rFonts w:ascii="Arial" w:hAnsi="Arial"/>
        </w:rPr>
        <w:t xml:space="preserve"> — com testes automatizados e integração contínua (CI). Todos os números e figuras deste artigo são gerados por </w:t>
      </w:r>
      <w:r>
        <w:rPr>
          <w:rFonts w:ascii="Arial" w:hAnsi="Arial"/>
          <w:i/>
        </w:rPr>
        <w:t>scripts</w:t>
      </w:r>
      <w:r>
        <w:rPr>
          <w:rFonts w:ascii="Arial" w:hAnsi="Arial"/>
        </w:rPr>
        <w:t xml:space="preserve"> versionados (anotação de domínio, pontuação ESM-2, validação anti-vazamento, robustez Monte Carlo, meta-análise, SHAP e geração de figuras), com sementes aleatórias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Mecanismo BRCA1/BRCA2 no reparo do DNA e o câncer hereditário de mama e ovário (HBOC).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Estruturas 3D experimentais das proteínas-alvo (BRCA1 RING/BRCT; BRCA2 DBD–DSS1–ssDNA).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Consequência estrutural de variantes patogênicas (sítio de zinco do RING; mutante BRCT M1775R).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9.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10.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11.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Figura 12.</w:t>
      </w:r>
      <w:r>
        <w:rPr>
          <w:rFonts w:ascii="Arial" w:hAnsi="Arial"/>
        </w:rPr>
        <w:t xml:space="preserve"> Explicabilidade (SHAP) do modelo domínio + ESM-2.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ListBullet"/>
      </w:pPr>
      <w:r>
        <w:rPr>
          <w:rFonts w:ascii="Arial" w:hAnsi="Arial"/>
          <w:b/>
        </w:rPr>
        <w:t>Tabela 5.</w:t>
      </w:r>
      <w:r>
        <w:rPr>
          <w:rFonts w:ascii="Arial" w:hAnsi="Arial"/>
        </w:rPr>
        <w:t xml:space="preserve"> Modelo-carro-chefe domínio + ESM-2 sob o protocolo anti-vazamento.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>Lista completa, em ordem alfabética (sistema autor-data, NBR 6023), de todas as referências efetivamente citadas no corpo deste artigo. Fontes primárias adicionais consultadas na revisão de literatura, mas não citadas diretamente no texto, estão disponíveis para consulta e transparência em [`referencias_abnt.md`](referencias_abnt.md) (52 registros, com DOIs, recuperados via PubMed/NLM).</w:t>
      </w:r>
    </w:p>
    <w:p>
      <w:pPr>
        <w:jc w:val="both"/>
      </w:pPr>
      <w:r>
        <w:rPr>
          <w:rFonts w:ascii="Arial" w:hAnsi="Arial"/>
        </w:rPr>
        <w:t xml:space="preserve">1.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</w:rPr>
        <w:t xml:space="preserve">2.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3.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</w:rPr>
        <w:t xml:space="preserve">5. FAVALLI, V. et al. Machine learning-based reclassification of germline variants of unknown significance: the RENOVO algorithm.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108, n. 4, p. 682-695, 2021. DOI: 10.1016/j.ajhg.2021.03.010.</w:t>
      </w:r>
    </w:p>
    <w:p>
      <w:pPr>
        <w:jc w:val="both"/>
      </w:pPr>
      <w:r>
        <w:rPr>
          <w:rFonts w:ascii="Arial" w:hAnsi="Arial"/>
        </w:rPr>
        <w:t xml:space="preserve">6. FERNANDES, G. C. et al. Differential profile of BRCA1 vs. BRCA2 mutated families: a characterization of the main differences and similarities in patients. </w:t>
      </w:r>
      <w:r>
        <w:rPr>
          <w:rFonts w:ascii="Arial" w:hAnsi="Arial"/>
          <w:b/>
        </w:rPr>
        <w:t>Asian Pac J Cancer Prev</w:t>
      </w:r>
      <w:r>
        <w:rPr>
          <w:rFonts w:ascii="Arial" w:hAnsi="Arial"/>
        </w:rPr>
        <w:t>, v. 20, n. 6, p. 1655-1660, 2019. DOI: 10.31557/APJCP.2019.20.6.1655.</w:t>
      </w:r>
    </w:p>
    <w:p>
      <w:pPr>
        <w:jc w:val="both"/>
      </w:pPr>
      <w:r>
        <w:rPr>
          <w:rFonts w:ascii="Arial" w:hAnsi="Arial"/>
        </w:rPr>
        <w:t xml:space="preserve">7.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</w:rPr>
        <w:t xml:space="preserve">8.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</w:rPr>
        <w:t xml:space="preserve">9.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10.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11.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12. LASTA, J. L.; GROTO, A. D.; BRANDALIZE, A. P. C. Assessment of medical knowledge toward genetic testing for individuals with hereditary breast and ovarian cancer syndrome in Brazil. </w:t>
      </w:r>
      <w:r>
        <w:rPr>
          <w:rFonts w:ascii="Arial" w:hAnsi="Arial"/>
          <w:b/>
        </w:rPr>
        <w:t>Prev Med Rep</w:t>
      </w:r>
      <w:r>
        <w:rPr>
          <w:rFonts w:ascii="Arial" w:hAnsi="Arial"/>
        </w:rPr>
        <w:t>, v. 35, p. 102356, 2023. DOI: 10.1016/j.pmedr.2023.102356.</w:t>
      </w:r>
    </w:p>
    <w:p>
      <w:pPr>
        <w:jc w:val="both"/>
      </w:pPr>
      <w:r>
        <w:rPr>
          <w:rFonts w:ascii="Arial" w:hAnsi="Arial"/>
        </w:rPr>
        <w:t xml:space="preserve">13.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14.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15. NORONHA, M. M. et al. Beyond 1100delC: distinct CHEK2 variants and unique cancer phenotypes in Northeast Brazil. </w:t>
      </w:r>
      <w:r>
        <w:rPr>
          <w:rFonts w:ascii="Arial" w:hAnsi="Arial"/>
          <w:b/>
        </w:rPr>
        <w:t>Fam Cancer</w:t>
      </w:r>
      <w:r>
        <w:rPr>
          <w:rFonts w:ascii="Arial" w:hAnsi="Arial"/>
        </w:rPr>
        <w:t>, v. 25, n. 1, p. 8, 2026. DOI: 10.1007/s10689-025-00526-z.</w:t>
      </w:r>
    </w:p>
    <w:p>
      <w:pPr>
        <w:jc w:val="both"/>
      </w:pPr>
      <w:r>
        <w:rPr>
          <w:rFonts w:ascii="Arial" w:hAnsi="Arial"/>
        </w:rPr>
        <w:t xml:space="preserve">16. PALMERO, E. I. et al. Clinical characterization and risk profile of individuals seeking genetic counseling for hereditary breast cancer in Brazil. </w:t>
      </w:r>
      <w:r>
        <w:rPr>
          <w:rFonts w:ascii="Arial" w:hAnsi="Arial"/>
          <w:b/>
        </w:rPr>
        <w:t>J Genet Couns</w:t>
      </w:r>
      <w:r>
        <w:rPr>
          <w:rFonts w:ascii="Arial" w:hAnsi="Arial"/>
        </w:rPr>
        <w:t>, v. 16, n. 3, p. 363-71, 2007. DOI: 10.1007/s10897-006-9073-0.</w:t>
      </w:r>
    </w:p>
    <w:p>
      <w:pPr>
        <w:jc w:val="both"/>
      </w:pPr>
      <w:r>
        <w:rPr>
          <w:rFonts w:ascii="Arial" w:hAnsi="Arial"/>
        </w:rPr>
        <w:t xml:space="preserve">17. PARSONS, M. T. et al. Large scale multifactorial likelihood quantitative analysis of BRCA1 and BRCA2 variants: an ENIGMA resource to support clinical variant classification.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18.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19.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20. RIBEIRO, A. A. F. et al. Molecular characterization of hereditary breast and ovarian cancer patients from a public precision medicine service in the Southeast Brazilian population. </w:t>
      </w:r>
      <w:r>
        <w:rPr>
          <w:rFonts w:ascii="Arial" w:hAnsi="Arial"/>
          <w:b/>
        </w:rPr>
        <w:t>Sci Rep</w:t>
      </w:r>
      <w:r>
        <w:rPr>
          <w:rFonts w:ascii="Arial" w:hAnsi="Arial"/>
        </w:rPr>
        <w:t>, v. 15, n. 1, p. 33495, 2025. DOI: 10.1038/s41598-025-16870-0.</w:t>
      </w:r>
    </w:p>
    <w:p>
      <w:pPr>
        <w:jc w:val="both"/>
      </w:pPr>
      <w:r>
        <w:rPr>
          <w:rFonts w:ascii="Arial" w:hAnsi="Arial"/>
        </w:rPr>
        <w:t xml:space="preserve">21. RICHARDS, S. et al. Standards and guidelines for the interpretation of sequence variants: a joint consensus recommendation of the American College of Medical Genetics and Genomics and the Association for Molecular Pathology.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22. TIAN, Y. et al. REVEL and BayesDel outperform other in silico meta-predictors for clinical variant classification. </w:t>
      </w:r>
      <w:r>
        <w:rPr>
          <w:rFonts w:ascii="Arial" w:hAnsi="Arial"/>
          <w:b/>
        </w:rPr>
        <w:t>Sci Rep</w:t>
      </w:r>
      <w:r>
        <w:rPr>
          <w:rFonts w:ascii="Arial" w:hAnsi="Arial"/>
        </w:rPr>
        <w:t>, v. 9, n. 1, p. 12752, 2019. DOI: 10.1038/s41598-019-49224-8.</w:t>
      </w:r>
    </w:p>
    <w:p>
      <w:pPr>
        <w:jc w:val="both"/>
      </w:pPr>
      <w:r>
        <w:rPr>
          <w:rFonts w:ascii="Arial" w:hAnsi="Arial"/>
        </w:rPr>
        <w:t xml:space="preserve">23. TOLAND, A. E.; ANDREASSEN, P. R. DNA repair-related functional assays for the classification of BRCA1 and BRCA2 variants: a critical review and needs assessment.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24.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25. UNIPROT CONSORTIUM, THE.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p>
      <w:pPr>
        <w:jc w:val="both"/>
      </w:pPr>
      <w:r>
        <w:rPr>
          <w:rFonts w:ascii="Arial" w:hAnsi="Arial"/>
        </w:rPr>
        <w:t xml:space="preserve">26.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27.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24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