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rigoroso,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064582"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064582"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200425"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200425"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6.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264 VUS e 192 conflitantes (Tabela 7)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 o ESM-2 como o sinal transferível que eleva todos os genes (Figura S12b).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não está no AUC bruto — comparação estruturalmente injusta —,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 com dados reais do ClinVar —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 muito além do escopo original. Esse método é entregue de forma aberta, explicável, auditável e eticamente contida, com aplicação direta ao contexto brasileiro de saúde de precisão. A maior força do PrimeVarClass não é um número, mas um compromisso demonstrado com o rigor científico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