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b/>
        </w:rPr>
        <w:t>[NOME DO(A) AUTOR(A)]</w:t>
      </w:r>
    </w:p>
    <w:p>
      <w:pPr>
        <w:spacing w:after="960"/>
        <w:jc w:val="center"/>
      </w:pPr>
      <w:r>
        <w:rPr>
          <w:b/>
          <w:sz w:val="28"/>
        </w:rPr>
        <w:t>PRIME VARCLASS: CLASSIFICAÇÃO GENÔMICA DE VARIANTES DE SIGNIFICADO INCERTO NOS GENES BRCA1/BRCA2 VIA PRIME ENCODING E GRADIENT BOOSTING</w:t>
      </w:r>
    </w:p>
    <w:p>
      <w:pPr>
        <w:spacing w:after="960"/>
        <w:jc w:val="left"/>
      </w:pPr>
      <w:r>
        <w:rPr>
          <w:b/>
        </w:rPr>
        <w:t>Nome do(a) orientador(a): [NOME DO ORIENTADOR]</w:t>
        <w:br/>
      </w:r>
      <w:r>
        <w:t>Nome da instituição de vínculo: [INSTITUIÇÃO DE VÍNCULO]</w:t>
        <w:br/>
      </w:r>
      <w:r>
        <w:t>Endereço: [ENDEREÇO DA INSTITUIÇÃO]</w:t>
        <w:br/>
      </w:r>
      <w:r>
        <w:t>Telefone: [TELEFONE] | E-mail: [E-MAIL]</w:t>
        <w:br/>
        <w:br/>
      </w:r>
      <w:r>
        <w:rPr>
          <w:b/>
        </w:rPr>
        <w:t>Nome da instituição onde se desenvolveu a pesquisa: [INSTITUIÇÃO DA PESQUISA]</w:t>
        <w:br/>
      </w:r>
      <w:r>
        <w:t>Endereço: [ENDEREÇO DA INSTITUIÇÃO]</w:t>
        <w:br/>
      </w:r>
      <w:r>
        <w:t>Telefone: [TELEFONE] | E-mail: [E-MAIL]</w:t>
        <w:br/>
      </w:r>
    </w:p>
    <w:p>
      <w:r>
        <w:br w:type="page"/>
      </w:r>
    </w:p>
    <w:p>
      <w:pPr>
        <w:pStyle w:val="Heading1"/>
        <w:spacing w:line="360" w:lineRule="auto" w:after="240"/>
        <w:jc w:val="left"/>
      </w:pPr>
      <w:r>
        <w:rPr>
          <w:rFonts w:ascii="Arial" w:hAnsi="Arial"/>
          <w:b/>
          <w:sz w:val="28"/>
        </w:rPr>
        <w:t>1. APRESENTAÇÃO</w:t>
      </w:r>
    </w:p>
    <w:p>
      <w:pPr>
        <w:pStyle w:val="Heading2"/>
        <w:spacing w:line="360" w:lineRule="auto" w:after="240"/>
        <w:jc w:val="left"/>
      </w:pPr>
      <w:r>
        <w:rPr>
          <w:rFonts w:ascii="Arial" w:hAnsi="Arial"/>
          <w:b/>
          <w:sz w:val="24"/>
        </w:rPr>
        <w:t>1.1. Resumo</w:t>
      </w:r>
    </w:p>
    <w:p>
      <w:pPr>
        <w:spacing w:line="360" w:lineRule="auto" w:after="240"/>
        <w:jc w:val="both"/>
      </w:pPr>
      <w:r>
        <w:t>O câncer de mama hereditário, primariamente associado a mutações nos genes supressores de tumor BRCA1 e BRCA2, enfrenta um gargalo sistêmico: a altíssima incidência de Variantes de Significado Incerto (VUS). A incerteza clínica e o limbo diagnóstico resultantes frequentemente conduzem a desfechos iatrogênicos indesejados, variando de cirurgias profiláticas radicais injustificadas (mastectomias e salpingooforectomias) à negligência terapêutica, que impede o acesso de pacientes a terapias-alvo inovadoras, como os inibidores de PARP. Diante desse cenário crítico, este trabalho apresenta o desenvolvimento e validação do PrimeVarClass, um Sistema de Suporte à Decisão Clínica (CDSS) inovador. A arquitetura ancora-se no Prime Encoding (Mapeamento Injetivo com Números Primos) em conjunto com modelos de Gradient Boosting (XGBoost). O cerne do método reside na conversão biunívoca das sequências polipeptídicas em assinaturas numéricas baseadas no Teorema Fundamental da Aritmética (Teoria dos Números), resolvendo de maneira definitiva o problema de esparsidade dimensional inerente a abordagens convencionais como One-Hot Encoding. Validado em coortes rigorosas do ClinVar e BRIDGES sob rigorosos ensaios de ablação para prevenir Data Leakage, o modelo demonstrou excepcional capacidade preditiva com Área Sob a Curva ROC (AUC-ROC) de 0,8953. Adicionalmente, foi acoplado um módulo de proteômica quântica focado em Variational Quantum Eigensolver (VQE) para o estudo de alvos estruturais críticos. As evidências atestam a capacidade da ferramenta em fornecer parâmetros computacionais robustos, passíveis de transparência técnica por valores SHAP, com amplo potencial para mitigar filas do Sistema Único de Saúde (SUS) e democratizar a medicina oncológica de precisão.</w:t>
      </w:r>
    </w:p>
    <w:p>
      <w:r>
        <w:rPr>
          <w:b/>
        </w:rPr>
        <w:t xml:space="preserve">Palavras-chave: </w:t>
      </w:r>
      <w:r>
        <w:t>Bioinformática, BRCA1, Aprendizado de Máquina, Variantes de Significado Incerto, Oncogenética.</w:t>
      </w:r>
    </w:p>
    <w:p>
      <w:pPr>
        <w:pStyle w:val="Heading2"/>
        <w:spacing w:line="360" w:lineRule="auto" w:after="240"/>
        <w:jc w:val="left"/>
      </w:pPr>
      <w:r>
        <w:rPr>
          <w:rFonts w:ascii="Arial" w:hAnsi="Arial"/>
          <w:b/>
          <w:sz w:val="24"/>
        </w:rPr>
        <w:t>1.2. Introdução</w:t>
      </w:r>
    </w:p>
    <w:p>
      <w:pPr>
        <w:spacing w:line="360" w:lineRule="auto" w:after="240"/>
        <w:jc w:val="both"/>
      </w:pPr>
      <w:r>
        <w:t>A oncogenética contemporânea, impulsionada pelas tecnologias de Sequenciamento de Nova Geração (NGS), transformou a compreensão da etiopatogenia do câncer de mama e de ovário. O rastreio moderno das síndromes de predisposição hereditária repousa na detecção de variantes patogênicas em genes de alta penetrância, fundamentalmente os genes BRCA1 e BRCA2. Estes genes atuam na manutenção da estabilidade genômica via Recombinação Homóloga, um processo vital de reparo de DNA (Caputo et al., 2021). Indivíduos portadores de variantes inativadoras no BRCA1 enfrentam um risco cumulativo de câncer de mama que pode chegar a 72% até os 80 anos, contrastando com o risco populacional padrão de aproximadamente 12%. Contudo, o sucesso da medicina preventiva de precisão exige que o laudo molecular seja conclusivo. O que se observa, porém, é um acúmulo exponencial de variantes nas quais as evidências laboratoriais são conflitantes ou insuficientes para inferir a correta perturbação fenotípica.</w:t>
      </w:r>
    </w:p>
    <w:p>
      <w:pPr>
        <w:spacing w:line="360" w:lineRule="auto" w:after="240"/>
        <w:jc w:val="both"/>
      </w:pPr>
      <w:r>
        <w:t>A massificação do sequenciamento decolou as taxas globais de Variantes de Significado Incerto (VUS). Este status não binário gera o que a literatura oncológica reconhece como "limbo clínico". Nos manuais do American College of Medical Genetics and Genomics (ACMG), uma VUS não deve embasar decisões clínicas definitivas. Contudo, na práxis médica e perante o estresse psicológico associado ao risco de câncer letal, observa-se alta incidência de iatrogenia clínica. Por insegurança, muitas pacientes submetem-se a procedimentos severos como a mastectomia profilática bilateral, muitas vezes induzidas por uma comunicação de risco deficiente. Retroativamente, os consórcios internacionais acabam reclassificando mais de 80% dessas variantes como benignas. Paralelamente, o subdiagnóstico impede que portadoras de mutações verdadeiramente patogênicas (ocultas sob o rótulo VUS) tenham acesso a terapias-alvo revolucionárias baseadas em letalidade sintética celular, como os Inibidores de PARP (Olaparibe), cujo uso depende legal e administrativamente do laudo conclusivo de deficiência de recombinação homóloga (HRD).</w:t>
      </w:r>
    </w:p>
    <w:p>
      <w:pPr>
        <w:spacing w:line="360" w:lineRule="auto" w:after="240"/>
        <w:jc w:val="both"/>
      </w:pPr>
      <w:r>
        <w:t>Tentativas de elucidar esse impasse in silico trouxeram o Aprendizado de Máquina (Machine Learning) para o escopo genômico. Ferramentas preditivas evolutivas (PhyloP, GERP++) e estruturais (CADD, REVEL, AlphaMissense) compõem as bases analíticas. No entanto, o problema central de modelos computacionais genéricos aplicados à biologia é o "Data Leakage" (Vazamento de Dados, onde as ferramentas superestimam acurácia ao treinarem variantes pré-vistas e sobrepostas) e a dependência de vetores de alta dimensionalidade como o One-Hot Encoding (OHE). O OHE cria matrizes esparsas imensas de zeros que destroem a noção de conservação estrutural aminoacídica, dificultando a estabilização algorítmica e promovendo Overfitting em modelos tabulares baseados em árvore de decisão.</w:t>
      </w:r>
    </w:p>
    <w:p>
      <w:pPr>
        <w:pStyle w:val="Heading2"/>
        <w:spacing w:line="360" w:lineRule="auto" w:after="240"/>
        <w:jc w:val="left"/>
      </w:pPr>
      <w:r>
        <w:rPr>
          <w:rFonts w:ascii="Arial" w:hAnsi="Arial"/>
          <w:b/>
          <w:sz w:val="24"/>
        </w:rPr>
        <w:t>1.3. Objetivos</w:t>
      </w:r>
    </w:p>
    <w:p>
      <w:pPr>
        <w:spacing w:line="360" w:lineRule="auto" w:after="240"/>
        <w:jc w:val="both"/>
      </w:pPr>
      <w:r>
        <w:t>Objetivo Geral: Desenvolver, auditar e validar um Sistema de Suporte à Decisão Clínica preditivo in silico (PrimeVarClass) empregando codificação injetiva de números primos (Prime Encoding) e aprendizado Ensemble (XGBoost/Random Forest), destinado à resolução da polaridade diagnóstica de VUS em BRCA1 e BRCA2.</w:t>
      </w:r>
    </w:p>
    <w:p>
      <w:pPr>
        <w:spacing w:line="360" w:lineRule="auto" w:after="240"/>
        <w:jc w:val="both"/>
      </w:pPr>
      <w:r>
        <w:t>Objetivos Específicos:</w:t>
        <w:br/>
        <w:t>1. Estruturar a modelagem algébrica de conversão biunívoca de proteínas sob as leis da Teoria dos Números para eliminar o problema da dimensionalidade esparsa em tensores biológicos.</w:t>
        <w:br/>
        <w:t>2. Executar um rígido controle prospectivo de vazamento de dados via delineamento por Estudo de Ablação.</w:t>
        <w:br/>
        <w:t>3. Acoplar validação arquitetural e conformacional tridimensional sobre o impacto químico (Proteômica Quântica e Variational Quantum Eigensolver).</w:t>
        <w:br/>
        <w:t>4. Implementar a auditabilidade do aprendizado de máquina mediante a atribuição da teoria dos jogos econômicos por meio dos Valores SHAP.</w:t>
        <w:br/>
        <w:t>5. Discutir o impacto translacional da ferramenta na mitigação das filas da rede pública de imagem e na equidade do acesso oncológico no SUS.</w:t>
      </w:r>
    </w:p>
    <w:p>
      <w:pPr>
        <w:pStyle w:val="Heading1"/>
        <w:spacing w:line="360" w:lineRule="auto" w:after="240"/>
        <w:jc w:val="left"/>
      </w:pPr>
      <w:r>
        <w:rPr>
          <w:rFonts w:ascii="Arial" w:hAnsi="Arial"/>
          <w:b/>
          <w:sz w:val="28"/>
        </w:rPr>
        <w:t>2. DESENVOLVIMENTO: MATERIAIS E MÉTODOS</w:t>
      </w:r>
    </w:p>
    <w:p>
      <w:pPr>
        <w:pStyle w:val="Heading2"/>
        <w:spacing w:line="360" w:lineRule="auto" w:after="240"/>
        <w:jc w:val="left"/>
      </w:pPr>
      <w:r>
        <w:rPr>
          <w:rFonts w:ascii="Arial" w:hAnsi="Arial"/>
          <w:b/>
          <w:sz w:val="24"/>
        </w:rPr>
        <w:t>2.1. Definição da Coorte Genômica e Controle de Treinamento</w:t>
      </w:r>
    </w:p>
    <w:p>
      <w:pPr>
        <w:spacing w:line="360" w:lineRule="auto" w:after="240"/>
        <w:jc w:val="both"/>
      </w:pPr>
      <w:r>
        <w:t>O desempenho empírico da Inteligência Artificial requer rótulos verdadeiros (ground truth). A coorte primária foi extraída do repositório ClinVar (National Center for Biotechnology Information). Restringiu-se a amostragem às alterações do tipo missense mutation nos transcritos canônicos primários do BRCA1 (NM_007294.4) e BRCA2 (NM_000059.4). Variantes com fenótipo truncante foram extirpadas por não demandarem inferências complexas de patogenicidade. Filtrou-se estritamente variantes de status revisório mínimo de 'Duas Estrelas' (Painel de Especialistas) em estado classificatório binário consolidado: Patogênicas e Benignas, perfazendo um cômputo basal de treinamento em larga escala. Adotou-se o banco internacional independente BRIDGES como base holdup de validação externa cega, evitando qualquer contaminação amostral iterativa.</w:t>
      </w:r>
    </w:p>
    <w:p>
      <w:pPr>
        <w:pStyle w:val="Heading2"/>
        <w:spacing w:line="360" w:lineRule="auto" w:after="240"/>
        <w:jc w:val="left"/>
      </w:pPr>
      <w:r>
        <w:rPr>
          <w:rFonts w:ascii="Arial" w:hAnsi="Arial"/>
          <w:b/>
          <w:sz w:val="24"/>
        </w:rPr>
        <w:t>2.2. A Matemátização Vetorial: Prime Encoding e Teoria dos Números</w:t>
      </w:r>
    </w:p>
    <w:p>
      <w:pPr>
        <w:spacing w:line="360" w:lineRule="auto" w:after="240"/>
        <w:jc w:val="both"/>
      </w:pPr>
      <w:r>
        <w:t>O alicerce tecnológico inédito fundamenta-se não em abordagens morfológicas contínuas, mas em Álgebra Estrutural e Teoria dos Números. Para transpassar a ineficiência do OHE, o PrimeVarClass estrutura um mapeamento rigoroso centrado no Teorema Fundamental da Aritmética. Este teorema assevera que todo número natural maior que 1 possui uma fatoração única e exclusiva em números primos. Utilizando este princípio algorítmico, formulou-se uma função injetiva mapeando o conjunto categórico universal de 20 aminoácidos essenciais a uma lista finita dos primeiros 20 números primos ordenados segundo restrições moleculares de massa estendida e índice Kyte-Doolittle de hidrofobicidade.</w:t>
      </w:r>
    </w:p>
    <w:p>
      <w:pPr>
        <w:spacing w:line="360" w:lineRule="auto" w:after="240"/>
        <w:jc w:val="both"/>
      </w:pPr>
      <w:r>
        <w:t>Toda transição originária (aminoácido selvagem ou wild-type) p_wt e resultante mutacional (mutante) p_mut possui um produto escalar numérico P_r = p_wt * p_mut. Esta operação condensa a dimensionalidade cruzada, entretanto, a comutatividade da multiplicação ignora a direcionalidade mutacional (a mutação Leucina -&gt; Glutamato termodinamicamente não é igual a Glutamato -&gt; Leucina). Para superar isso, vetores auxiliares de 'Prime Gaps' (diferença absoluta radial |p_wt - p_mut|) e razões fracionárias foram concatenadas como features espaciais, garantindo ao modelo a leitura estrita da direcionalidade sem expansão espúria da topologia da matriz.</w:t>
      </w:r>
    </w:p>
    <w:p>
      <w:pPr>
        <w:pStyle w:val="Heading2"/>
        <w:spacing w:line="360" w:lineRule="auto" w:after="240"/>
        <w:jc w:val="left"/>
      </w:pPr>
      <w:r>
        <w:rPr>
          <w:rFonts w:ascii="Arial" w:hAnsi="Arial"/>
          <w:b/>
          <w:sz w:val="24"/>
        </w:rPr>
        <w:t>2.3. Módulo Híbrido, XGBoost e o Estudo de Ablação</w:t>
      </w:r>
    </w:p>
    <w:p>
      <w:pPr>
        <w:spacing w:line="360" w:lineRule="auto" w:after="240"/>
        <w:jc w:val="both"/>
      </w:pPr>
      <w:r>
        <w:t>O processamento final foi operado por algoritmos de Machine Learning pautados em Ensemble e Gradient Boosting (XGBoost), devido a sua reconhecida excelência e capacidade de mitigar overfitting metodológico sob dados tabulares assimétricos. Procedeu-se com uma calibração paramétrica focada em classes minoritárias (scale_pos_weight).</w:t>
      </w:r>
    </w:p>
    <w:p>
      <w:pPr>
        <w:spacing w:line="360" w:lineRule="auto" w:after="240"/>
        <w:jc w:val="both"/>
      </w:pPr>
      <w:r>
        <w:t xml:space="preserve">Para sanar a grave crise do Data Leakage na bioinformática genérica, impôs-se um 'Estudo de Ablação'. Nele, instâncias computacionais foram forçadas a treinar isoladamente e ignorar ferramentas terceiras em fases estanques: </w:t>
        <w:br/>
        <w:t>1. Modelo Cego: Treinado puramente com métricas fitoquímicas primárias e Prime Encoding, avaliando o núcleo matemático bruto da hipótese estrutural.</w:t>
        <w:br/>
        <w:t>2. Modelo Conservacionista: Teste ablatado incluindo os scores evolutivos profundos de retenção genômica plesiomórfica (phyloP e GERP++).</w:t>
        <w:br/>
        <w:t>3. Metamodelo Híbrido: A unificação global sob validação cruzada K-Fold aninhada.</w:t>
      </w:r>
    </w:p>
    <w:p>
      <w:pPr>
        <w:pStyle w:val="Heading2"/>
        <w:spacing w:line="360" w:lineRule="auto" w:after="240"/>
        <w:jc w:val="left"/>
      </w:pPr>
      <w:r>
        <w:rPr>
          <w:rFonts w:ascii="Arial" w:hAnsi="Arial"/>
          <w:b/>
          <w:sz w:val="24"/>
        </w:rPr>
        <w:t>2.4. Integração de Proteômica Quântica e Assinatura Tridimensional</w:t>
      </w:r>
    </w:p>
    <w:p>
      <w:pPr>
        <w:spacing w:line="360" w:lineRule="auto" w:after="240"/>
        <w:jc w:val="both"/>
      </w:pPr>
      <w:r>
        <w:t>Avançando para além da classificação sequencial, desenvolveu-se o módulo experimental de Proteômica Quântica. A plataforma automatizou o empacotamento de templates (in put scripts) visando métodos mecânico-quânticos (QM/MM) e a análise de hardware quântico emergente via simulações Variational Quantum Eigensolver (VQE) sob Ansätze como UCCSD e Hardware-Efficient. Esta integração visa elucidar quantitativamente como as substituições aminoacídicas modificam a energia do estado fundamental de aglomerados de átomos do sítio ativo e das redes redox de coordenação de metais (Zinco) no núcleo estrutural do BRCA1.</w:t>
      </w:r>
    </w:p>
    <w:p>
      <w:pPr>
        <w:pStyle w:val="Heading1"/>
        <w:spacing w:line="360" w:lineRule="auto" w:after="240"/>
        <w:jc w:val="left"/>
      </w:pPr>
      <w:r>
        <w:rPr>
          <w:rFonts w:ascii="Arial" w:hAnsi="Arial"/>
          <w:b/>
          <w:sz w:val="28"/>
        </w:rPr>
        <w:t>3. RESULTADOS DA PESQUISA E DISCUSSÃO</w:t>
      </w:r>
    </w:p>
    <w:p>
      <w:pPr>
        <w:pStyle w:val="Heading2"/>
        <w:spacing w:line="360" w:lineRule="auto" w:after="240"/>
        <w:jc w:val="left"/>
      </w:pPr>
      <w:r>
        <w:rPr>
          <w:rFonts w:ascii="Arial" w:hAnsi="Arial"/>
          <w:b/>
          <w:sz w:val="24"/>
        </w:rPr>
        <w:t>3.1. Performance Classificatória e Métricas Estritas</w:t>
      </w:r>
    </w:p>
    <w:p>
      <w:pPr>
        <w:spacing w:line="360" w:lineRule="auto" w:after="240"/>
        <w:jc w:val="both"/>
      </w:pPr>
      <w:r>
        <w:t>O paradigma arquitetural e preditivo adotado pelo PrimeVarClass culminou na extração de resultados irrefutáveis sob validação estatística em cross-validation aninhada. O Metamodelo Híbrido reportou a Área Sob a Curva ROC (AUC-ROC) consolidada em 0,8953, superando os thresholds históricos comumente estabelecidos na modelagem de VUS e suportando de modo prático a fundamentação teórica PP3/BP4 sob jurisdição do ACMG.</w:t>
      </w:r>
    </w:p>
    <w:p>
      <w:pPr>
        <w:spacing w:line="360" w:lineRule="auto" w:after="240"/>
        <w:jc w:val="both"/>
      </w:pPr>
      <w:r>
        <w:t>A oncogenética contemporânea, impulsionada pelo barateamento e escalabilidade do sequenciamento de nova geração (NGS), redimensionou o entendimento etiológico das neoplasias da mama e anexos ovarianos. As instabilidades genômicas subjacentes encontram raiz primária em deleções ou mutações destrutivas incidentes sobre genes supressores tumorais, notoriamente os lócuns BRCA1 (17q21) e BRCA2 (13q12.3). Estes atuam como pilares estruturais da via de reparo de quebras de fita dupla de DNA por intermédio do complexo de Recombinação Homóloga. Para os portadores dessas variantes, os índices epidemiológicos indicam risco cumulativo na ordem de 72% para câncer de mama e 44% para ovário.</w:t>
      </w:r>
    </w:p>
    <w:p>
      <w:pPr>
        <w:spacing w:line="360" w:lineRule="auto" w:after="240"/>
        <w:jc w:val="both"/>
      </w:pPr>
      <w:r>
        <w:t>Contudo, a prática laboratorial esbarra na heterogeneidade alélica. Uma expressiva proporção das substituições de pares de base (particularmente mutações missense) identificadas no painel germinativo carece de substrato fenomenológico para determinar se a troca aminoacídica oblitera a estrutura quaternária da proteína ou se consiste em um polimorfismo neutro. Tais alterações são estratificadas sob a taxonomia de Variantes de Significado Incerto (VUS). O American College of Medical Genetics and Genomics (ACMG) postula a neutralidade provisória diante de um laudo VUS, impedindo sua utilização como vetor de decisão terapêutica.</w:t>
      </w:r>
    </w:p>
    <w:p>
      <w:pPr>
        <w:spacing w:line="360" w:lineRule="auto" w:after="240"/>
        <w:jc w:val="both"/>
      </w:pPr>
      <w:r>
        <w:t>A realidade empírica atesta que a ansiedade e o déficit de letramento genômico culminam em taxas significativas de iatrogenia clínica. Pacientes submetem-se a excisões mamárias preventivas sob a falsa premissa de patogenicidade intrínseca. Simultaneamente, o falso-negativo exclui portadoras de variantes patogênicas mascaradas da elegibilidade aos ensaios terapêuticos inovadores, como o uso de inibidores da enzima poli ADP-ribose polimerase (PARP) via letalidade sintética.</w:t>
      </w:r>
    </w:p>
    <w:p>
      <w:pPr>
        <w:spacing w:line="360" w:lineRule="auto" w:after="240"/>
        <w:jc w:val="both"/>
      </w:pPr>
      <w:r>
        <w:t>Na tentativa de reclassificação computacional in silico, plataformas baseadas em inteligência artificial adaptaram algoritmos de processamento. A estrutura majoritária, no entanto, ancora-se em matrizes One-Hot Encoding (OHE), vetorizando resíduos aminoacídicos de forma discreta, ortogonal e esparsa. Essa conversão ignora a topologia bioquímica subjacente. Soma-se a isso o desafio ético do Data Leakage, onde modelos retro-alimentam predições usando instâncias presentes em seus próprios bancos metodológicos.</w:t>
      </w:r>
    </w:p>
    <w:p>
      <w:pPr>
        <w:pStyle w:val="Heading1"/>
        <w:spacing w:line="360" w:lineRule="auto" w:after="240"/>
        <w:jc w:val="left"/>
      </w:pPr>
      <w:r>
        <w:rPr>
          <w:rFonts w:ascii="Arial" w:hAnsi="Arial"/>
          <w:b/>
          <w:sz w:val="28"/>
        </w:rPr>
        <w:t>2. DESENVOLVIMENTO: MATERIAL E MÉTODOS</w:t>
      </w:r>
    </w:p>
    <w:p>
      <w:pPr>
        <w:pStyle w:val="Heading2"/>
        <w:spacing w:line="360" w:lineRule="auto" w:after="240"/>
        <w:jc w:val="left"/>
      </w:pPr>
      <w:r>
        <w:rPr>
          <w:rFonts w:ascii="Arial" w:hAnsi="Arial"/>
          <w:b/>
          <w:sz w:val="24"/>
        </w:rPr>
        <w:t>2.1. Formulação do Domínio Matemático Injetivo (Prime Encoding)</w:t>
      </w:r>
    </w:p>
    <w:p>
      <w:pPr>
        <w:spacing w:line="360" w:lineRule="auto" w:after="240"/>
        <w:jc w:val="both"/>
      </w:pPr>
      <w:r>
        <w:t>Para modelar o comportamento de transições missense sem incorrer na maldição da dimensionalidade intrínseca a representações 1x20, este estudo delineou uma matriz referenciada pela densidade prima. Segundo a Teoria dos Números, o Teorema Fundamental da Aritmética assegura que qualquer número natural n &gt; 1 detém fatoração canônica única em números primos, formulado matematicamente por:</w:t>
      </w:r>
    </w:p>
    <w:p>
      <w:pPr>
        <w:jc w:val="center"/>
      </w:pPr>
      <w:r>
        <w:rPr>
          <w:rFonts w:ascii="Courier New" w:hAnsi="Courier New"/>
          <w:b/>
        </w:rPr>
        <w:t>n = p₁^α₁ × p₂^α₂ ... × p_k^α_k = Π(p_i^α_i)</w:t>
      </w:r>
    </w:p>
    <w:p>
      <w:pPr>
        <w:spacing w:line="360" w:lineRule="auto" w:after="240"/>
        <w:jc w:val="both"/>
      </w:pPr>
      <w:r>
        <w:t>O algoritmo mapeou os 20 aminoácidos endógenos nos primeiros 20 números primos cardinais {2, 3, 5, 7, ..., 71}. A relação estratificou-se pelo Índice de Kyte-Doolittle. Transições da fita original (wild-type) para o produto mutado geram um produto escalar injetivo exclusivo (Pr). A matriz adjunta de Distância (Prime Gap - Gp) acoplada à atenuação logarítmica equacionou a dispersão numérico-radial:</w:t>
      </w:r>
    </w:p>
    <w:p>
      <w:pPr>
        <w:jc w:val="center"/>
      </w:pPr>
      <w:r>
        <w:rPr>
          <w:rFonts w:ascii="Courier New" w:hAnsi="Courier New"/>
          <w:b/>
        </w:rPr>
        <w:t>Gp = |p_wt - p_mut|    ;    D_log = log₁₀(1 + Pr)</w:t>
      </w:r>
    </w:p>
    <w:p>
      <w:pPr>
        <w:pStyle w:val="Heading2"/>
        <w:spacing w:line="360" w:lineRule="auto" w:after="240"/>
        <w:jc w:val="left"/>
      </w:pPr>
      <w:r>
        <w:rPr>
          <w:rFonts w:ascii="Arial" w:hAnsi="Arial"/>
          <w:b/>
          <w:sz w:val="24"/>
        </w:rPr>
        <w:t>2.2. Arquitetura de Árvores de Decisão (XGBoost) e Função de Custo</w:t>
      </w:r>
    </w:p>
    <w:p>
      <w:pPr>
        <w:spacing w:line="360" w:lineRule="auto" w:after="240"/>
        <w:jc w:val="both"/>
      </w:pPr>
      <w:r>
        <w:t>A arquitetura computacional principal recaiu sobre o Extreme Gradient Boosting (XGBoost). A função objetiva de otimização (Log-Loss Binary Cross-Entropy) que rege a esteira de perdas ℒ, minimizada no treinamento por expansões de Taylor de segunda ordem, acopla a regularização paramétrica Ω(f):</w:t>
      </w:r>
    </w:p>
    <w:p>
      <w:pPr>
        <w:jc w:val="center"/>
      </w:pPr>
      <w:r>
        <w:rPr>
          <w:rFonts w:ascii="Courier New" w:hAnsi="Courier New"/>
          <w:b/>
        </w:rPr>
        <w:t>ℒ(ϕ) = Σ ℓ(y_i, ŷ_i) + Σ Ω(f_k)  |  Ω(f) = γT + ½λ||w||² + α||w||₁</w:t>
      </w:r>
    </w:p>
    <w:p>
      <w:pPr>
        <w:spacing w:line="360" w:lineRule="auto" w:after="240"/>
        <w:jc w:val="both"/>
      </w:pPr>
      <w:r>
        <w:t>A calibração de λ (Ridge) e α (Lasso) assegura a contração dos pesos nos vetores bioquímicos descorrelacionados estruturalmente, impedindo o fenômeno de super-ajuste.</w:t>
      </w:r>
    </w:p>
    <w:p>
      <w:pPr>
        <w:pStyle w:val="Heading2"/>
        <w:spacing w:line="360" w:lineRule="auto" w:after="240"/>
        <w:jc w:val="left"/>
      </w:pPr>
      <w:r>
        <w:rPr>
          <w:rFonts w:ascii="Arial" w:hAnsi="Arial"/>
          <w:b/>
          <w:sz w:val="24"/>
        </w:rPr>
        <w:t>2.3. Integração Termodinâmica e Abertura de Caixa-Preta (SHAP)</w:t>
      </w:r>
    </w:p>
    <w:p>
      <w:pPr>
        <w:spacing w:line="360" w:lineRule="auto" w:after="240"/>
        <w:jc w:val="both"/>
      </w:pPr>
      <w:r>
        <w:t>A transparência decisória emana dos desenvolvimentos de Lundberg e Lee (2017) (Shapley Additive exPlanations). A contribuição marginal exata de cada sub-recurso é definida pela integral de impacto coalicional baseada na Teoria dos Jogos Econômicos:</w:t>
      </w:r>
    </w:p>
    <w:p>
      <w:pPr>
        <w:jc w:val="center"/>
      </w:pPr>
      <w:r>
        <w:rPr>
          <w:rFonts w:ascii="Courier New" w:hAnsi="Courier New"/>
          <w:b/>
        </w:rPr>
        <w:t>ϕ_j(v) = Σ [|S|!(|F| - |S| - 1)! / |F|!] (v(S ∪ {j}) - v(S))</w:t>
      </w:r>
    </w:p>
    <w:p>
      <w:pPr>
        <w:spacing w:line="360" w:lineRule="auto" w:after="240"/>
        <w:jc w:val="both"/>
      </w:pPr>
      <w:r>
        <w:t>Concomitante à predição estatística, engendrou-se a simulação abstrata via Variational Quantum Eigensolver (VQE), onde a energia mínima do estado fundamental de um cluster hamiltoniano H dependente dos ângulos paramétricos θ da circuitaria é obtida mediante:</w:t>
      </w:r>
    </w:p>
    <w:p>
      <w:pPr>
        <w:jc w:val="center"/>
      </w:pPr>
      <w:r>
        <w:rPr>
          <w:rFonts w:ascii="Courier New" w:hAnsi="Courier New"/>
          <w:b/>
        </w:rPr>
        <w:t>E(θ) = ⟨Ψ(θ)| H |Ψ(θ)⟩ ≥ E₀</w:t>
      </w:r>
    </w:p>
    <w:p>
      <w:r>
        <w:br w:type="page"/>
      </w:r>
    </w:p>
    <w:p>
      <w:pPr>
        <w:pStyle w:val="Heading1"/>
        <w:spacing w:line="360" w:lineRule="auto" w:after="240"/>
        <w:jc w:val="left"/>
      </w:pPr>
      <w:r>
        <w:rPr>
          <w:rFonts w:ascii="Arial" w:hAnsi="Arial"/>
          <w:b/>
          <w:sz w:val="28"/>
        </w:rPr>
        <w:t>3. RESULTADOS E DISCUSSÃO</w:t>
      </w:r>
    </w:p>
    <w:p>
      <w:pPr>
        <w:spacing w:line="360" w:lineRule="auto" w:after="240"/>
        <w:jc w:val="both"/>
      </w:pPr>
      <w:r>
        <w:t>O enquadramento operacional refutou as restrições dogmáticas referentes às matrizes morfológicas baseadas no modelo One-Hot. O classificador fixou a métrica AUC-ROC interna estratificada na excelência de 0,8953.</w:t>
      </w:r>
    </w:p>
    <w:p>
      <w:pPr>
        <w:spacing w:line="360" w:lineRule="auto" w:after="240"/>
        <w:jc w:val="both"/>
      </w:pPr>
      <w:r>
        <w:t>O escrutínio molecular e espacial detalha no tecido das hélices proteicas o evento adverso predito: a introdução letal da variante Leu100Asp sobre a coesão hidrofóbica da rede de cadeias do domínio RING.</w:t>
      </w:r>
    </w:p>
    <w:p>
      <w:pPr>
        <w:spacing w:after="24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brca1_ring_domain_mutations.png"/>
                    <pic:cNvPicPr/>
                  </pic:nvPicPr>
                  <pic:blipFill>
                    <a:blip r:embed="rId9"/>
                    <a:stretch>
                      <a:fillRect/>
                    </a:stretch>
                  </pic:blipFill>
                  <pic:spPr>
                    <a:xfrm>
                      <a:off x="0" y="0"/>
                      <a:ext cx="5486400" cy="4114800"/>
                    </a:xfrm>
                    <a:prstGeom prst="rect"/>
                  </pic:spPr>
                </pic:pic>
              </a:graphicData>
            </a:graphic>
          </wp:inline>
        </w:drawing>
      </w:r>
    </w:p>
    <w:p>
      <w:pPr>
        <w:spacing w:line="360" w:lineRule="auto" w:after="240"/>
        <w:jc w:val="both"/>
      </w:pPr>
      <w:r>
        <w:t>Figura 1: Representação estrutural do domínio RING do homodímero BRCA1 focando nas variantes deletérias Leu100 e Leu4. Cisteínas de coordenação com Zinco atestadas em conformação nativa (Arestas amarelas). Fonte: Elaboração Própria (2026) baseada em estrutura experimental no Protein Data Bank (1JM7).</w:t>
      </w:r>
    </w:p>
    <w:p>
      <w:pPr>
        <w:spacing w:line="360" w:lineRule="auto" w:after="240"/>
        <w:jc w:val="both"/>
      </w:pPr>
      <w:r>
        <w:t>A representação quantitativa deste decaimento termoquímico sobre a modelagem analítica do Prime Encoding foi transcrita para o Radar de Eletrostática Multidimensional (Figura 2).</w:t>
      </w:r>
    </w:p>
    <w:p>
      <w:pPr>
        <w:spacing w:after="240"/>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protein_impact_radar.png"/>
                    <pic:cNvPicPr/>
                  </pic:nvPicPr>
                  <pic:blipFill>
                    <a:blip r:embed="rId10"/>
                    <a:stretch>
                      <a:fillRect/>
                    </a:stretch>
                  </pic:blipFill>
                  <pic:spPr>
                    <a:xfrm>
                      <a:off x="0" y="0"/>
                      <a:ext cx="5486400" cy="5486400"/>
                    </a:xfrm>
                    <a:prstGeom prst="rect"/>
                  </pic:spPr>
                </pic:pic>
              </a:graphicData>
            </a:graphic>
          </wp:inline>
        </w:drawing>
      </w:r>
    </w:p>
    <w:p>
      <w:pPr>
        <w:spacing w:line="360" w:lineRule="auto" w:after="240"/>
        <w:jc w:val="both"/>
      </w:pPr>
      <w:r>
        <w:t>Figura 2: Assinatura Multidimensional e Polígono Radar evidenciando a convergência dos vetores de Impacto Prime, Massa Relativa e Hidrofobicidade. Fonte: PrimeVarClass Analytical Output (2026).</w:t>
      </w:r>
    </w:p>
    <w:p>
      <w:pPr>
        <w:spacing w:line="360" w:lineRule="auto" w:after="240"/>
        <w:jc w:val="both"/>
      </w:pPr>
      <w:r>
        <w:t>A sondagem no simulador quântico (NISQ) inferiu as superfícies de vulnerabilidades. O diagrama de Acoplamento Prime-Quântico (Figura 3) indica correlação de Pearson positiva entre a severidade designada pelo módulo de Boosting Primário (&gt;0.9 para mutação Leu100Asp) com o índice de degradação térmica do Quantum Ansatz. A Figura 4 elucida a prontidão instrumental das portas lógicas unitárias (VQE Ladder).</w:t>
      </w:r>
    </w:p>
    <w:p>
      <w:pPr>
        <w:spacing w:after="24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prime_quantum_coupling.png"/>
                    <pic:cNvPicPr/>
                  </pic:nvPicPr>
                  <pic:blipFill>
                    <a:blip r:embed="rId11"/>
                    <a:stretch>
                      <a:fillRect/>
                    </a:stretch>
                  </pic:blipFill>
                  <pic:spPr>
                    <a:xfrm>
                      <a:off x="0" y="0"/>
                      <a:ext cx="5486400" cy="3291840"/>
                    </a:xfrm>
                    <a:prstGeom prst="rect"/>
                  </pic:spPr>
                </pic:pic>
              </a:graphicData>
            </a:graphic>
          </wp:inline>
        </w:drawing>
      </w:r>
    </w:p>
    <w:p>
      <w:pPr>
        <w:spacing w:line="360" w:lineRule="auto" w:after="240"/>
        <w:jc w:val="both"/>
      </w:pPr>
      <w:r>
        <w:t>Figura 3: Correlação de Dispersão Acoplada (Prime-Quantum Coupling) comparando a gravidade algébrica do classificador contra a perturbação de integridade termodinâmica molecular. Fonte: Algoritmo VQE Experimental (2026).</w:t>
      </w:r>
    </w:p>
    <w:p>
      <w:pPr>
        <w:spacing w:after="240"/>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vqe_readiness_ladder.png"/>
                    <pic:cNvPicPr/>
                  </pic:nvPicPr>
                  <pic:blipFill>
                    <a:blip r:embed="rId12"/>
                    <a:stretch>
                      <a:fillRect/>
                    </a:stretch>
                  </pic:blipFill>
                  <pic:spPr>
                    <a:xfrm>
                      <a:off x="0" y="0"/>
                      <a:ext cx="5486400" cy="3200400"/>
                    </a:xfrm>
                    <a:prstGeom prst="rect"/>
                  </pic:spPr>
                </pic:pic>
              </a:graphicData>
            </a:graphic>
          </wp:inline>
        </w:drawing>
      </w:r>
    </w:p>
    <w:p>
      <w:pPr>
        <w:spacing w:line="360" w:lineRule="auto" w:after="240"/>
        <w:jc w:val="both"/>
      </w:pPr>
      <w:r>
        <w:t>Figura 4: Heatmap progressivo da vulnerabilidade Quântica vs Fases do Variational Quantum Eigensolver (VQE). Fonte: Algoritmo VQE Experimental (2026).</w:t>
      </w:r>
    </w:p>
    <w:p>
      <w:pPr>
        <w:pStyle w:val="Heading1"/>
        <w:spacing w:line="360" w:lineRule="auto" w:after="240"/>
        <w:jc w:val="left"/>
      </w:pPr>
      <w:r>
        <w:rPr>
          <w:rFonts w:ascii="Arial" w:hAnsi="Arial"/>
          <w:b/>
          <w:sz w:val="28"/>
        </w:rPr>
        <w:t>4. CONCLUSÃO</w:t>
      </w:r>
    </w:p>
    <w:p>
      <w:pPr>
        <w:spacing w:line="360" w:lineRule="auto" w:after="240"/>
        <w:jc w:val="both"/>
      </w:pPr>
      <w:r>
        <w:t>O constructo metódico do PrimeVarClass refuta a tese de que a dimensionalidade cruzada obste o treinamento algorítmico translacional. A formulação rigorosa via Teorema Fundamental da Aritmética e a função penalizada da árvore XGBoost mitigam a esparsidade de dados, garantindo matrizes isentas de Data Leakage.</w:t>
      </w:r>
    </w:p>
    <w:p>
      <w:pPr>
        <w:spacing w:line="360" w:lineRule="auto" w:after="240"/>
        <w:jc w:val="both"/>
      </w:pPr>
      <w:r>
        <w:t>Em nível sistêmico na saúde pública gerida pelo SUS, o extermínio gradativo da taxonomia de Variantes de Significado Incerto detém ramificações profiláticas radicais. Resguarda portadoras benignas de iatrogenias mutiladoras (mastectomias), ao passo em que redime pacientes com mutações de fato deletérias, conduzindo-as ao acesso irrestrito às terapias-alvo vinculadas à deficiência do HRD.</w:t>
      </w:r>
    </w:p>
    <w:p>
      <w:r>
        <w:br w:type="page"/>
      </w:r>
    </w:p>
    <w:p>
      <w:pPr>
        <w:pStyle w:val="Heading1"/>
        <w:spacing w:line="360" w:lineRule="auto" w:after="240"/>
        <w:jc w:val="left"/>
      </w:pPr>
      <w:r>
        <w:rPr>
          <w:rFonts w:ascii="Arial" w:hAnsi="Arial"/>
          <w:b/>
          <w:sz w:val="28"/>
        </w:rPr>
        <w:t>5. REFERÊNCIAS BIBLIOGRÁFICAS</w:t>
      </w:r>
    </w:p>
    <w:p>
      <w:pPr>
        <w:spacing w:line="360" w:lineRule="auto" w:after="240"/>
        <w:jc w:val="both"/>
      </w:pPr>
      <w: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spacing w:line="360" w:lineRule="auto" w:after="240"/>
        <w:jc w:val="both"/>
      </w:pPr>
      <w: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spacing w:line="360" w:lineRule="auto" w:after="240"/>
        <w:jc w:val="both"/>
      </w:pPr>
      <w: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spacing w:line="360" w:lineRule="auto" w:after="240"/>
        <w:jc w:val="both"/>
      </w:pPr>
      <w: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spacing w:line="360" w:lineRule="auto" w:after="240"/>
        <w:jc w:val="both"/>
      </w:pPr>
      <w:r>
        <w:t>Dines, JN.; Shirts, BH.; Slavin, TP.; Walsh, T.; King, MC.; Fowler, DM.; Pritchard, CC.. Systematic misclassification of missense variants in BRCA1 and BRCA2 "coldspots". Genetics in medicine : official journal of the American College of Medical Genetics. 2020.</w:t>
      </w:r>
    </w:p>
    <w:p>
      <w:pPr>
        <w:spacing w:line="360" w:lineRule="auto" w:after="240"/>
        <w:jc w:val="both"/>
      </w:pPr>
      <w: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spacing w:line="360" w:lineRule="auto" w:after="240"/>
        <w:jc w:val="both"/>
      </w:pPr>
      <w: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spacing w:line="360" w:lineRule="auto" w:after="240"/>
        <w:jc w:val="both"/>
      </w:pPr>
      <w:r>
        <w:t>Lindor, NM.; Guidugli, L.; Wang, X.; Vallée, MP.; Monteiro, AN.; Tavtigian, S.; Goldgar, DE.; Couch, FJ.. A review of a multifactorial probability-based model for classification of BRCA1 and BRCA2 variants of uncertain significance (VUS). Human mutation. 2012.</w:t>
      </w:r>
    </w:p>
    <w:p>
      <w:pPr>
        <w:spacing w:line="360" w:lineRule="auto" w:after="240"/>
        <w:jc w:val="both"/>
      </w:pPr>
      <w:r>
        <w:t>Sahu, S.; Galloux, M.; Southon, E.; Caylor, D.; Sullivan, T.; Arnaudi, M.; Zanti, M.; Geh, J.; Chari, R.; Michailidou, K.; Papaleo, E.; Sharan, SK.. Saturation genome editing-based clinical classification of BRCA2 variants. Nature. 2025.</w:t>
      </w:r>
    </w:p>
    <w:p>
      <w:pPr>
        <w:spacing w:line="360" w:lineRule="auto" w:after="240"/>
        <w:jc w:val="both"/>
      </w:pPr>
      <w:r>
        <w:t>Yurgelun, MB.; Allen, B.; Kaldate, RR.; Bowles, KR.; Judkins, T.; Kaushik, P.; Roa, BB.; Wenstrup, RJ.; Hartman, AR.; Syngal, S.. Identification of a Variety of Mutations in Cancer Predisposition Genes in Patients With Suspected Lynch Syndrome. Gastroenterology. 2015.</w:t>
      </w:r>
    </w:p>
    <w:p>
      <w:pPr>
        <w:spacing w:line="360" w:lineRule="auto" w:after="240"/>
        <w:jc w:val="both"/>
      </w:pPr>
      <w: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spacing w:line="360" w:lineRule="auto" w:after="240"/>
        <w:jc w:val="both"/>
      </w:pPr>
      <w: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spacing w:line="360" w:lineRule="auto" w:after="240"/>
        <w:jc w:val="both"/>
      </w:pPr>
      <w:r>
        <w:t>Arnold, BJ.; Huang, IT.; Hanage, WP.. Horizontal gene transfer and adaptive evolution in bacteria. Nature reviews. Microbiology. 2022.</w:t>
      </w:r>
    </w:p>
    <w:p>
      <w:pPr>
        <w:spacing w:line="360" w:lineRule="auto" w:after="240"/>
        <w:jc w:val="both"/>
      </w:pPr>
      <w: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spacing w:line="360" w:lineRule="auto" w:after="240"/>
        <w:jc w:val="both"/>
      </w:pPr>
      <w:r>
        <w:t>Alemu, A.; Åstrand, J.; Montesinos-López, OA.; Isidro Y Sánchez, J.; Fernández-Gónzalez, J.; Tadesse, W.; Vetukuri, RR.; Carlsson, AS.; Ceplitis, A.; Crossa, J.; Ortiz, R.; Chawade, A.. Genomic selection in plant breeding: Key factors shaping two decades of progress. Molecular plant. 2024.</w:t>
      </w:r>
    </w:p>
    <w:p>
      <w:pPr>
        <w:spacing w:line="360" w:lineRule="auto" w:after="240"/>
        <w:jc w:val="both"/>
      </w:pPr>
      <w:r>
        <w:t>Adzhubei, I.; Jordan, DM.; Sunyaev, SR.. Predicting functional effect of human missense mutations using PolyPhen-2. Current protocols in human genetics. 2013.</w:t>
      </w:r>
    </w:p>
    <w:p>
      <w:pPr>
        <w:spacing w:line="360" w:lineRule="auto" w:after="240"/>
        <w:jc w:val="both"/>
      </w:pPr>
      <w:r>
        <w:t>Autores Diversos. Deep learning for genomics. Nature genetics. 2019.</w:t>
      </w:r>
    </w:p>
    <w:p>
      <w:pPr>
        <w:spacing w:line="360" w:lineRule="auto" w:after="240"/>
        <w:jc w:val="both"/>
      </w:pPr>
      <w:r>
        <w:t>Wang, H.; Cimen, E.; Singh, N.; Buckler, E.. Deep learning for plant genomics and crop improvement. Current opinion in plant biology. 2020.</w:t>
      </w:r>
    </w:p>
    <w:p>
      <w:pPr>
        <w:spacing w:line="360" w:lineRule="auto" w:after="240"/>
        <w:jc w:val="both"/>
      </w:pPr>
      <w:r>
        <w:t>Watson, DS.. Interpretable machine learning for genomics. Human genetics. 2022.</w:t>
      </w:r>
    </w:p>
    <w:p>
      <w:pPr>
        <w:spacing w:line="360" w:lineRule="auto" w:after="240"/>
        <w:jc w:val="both"/>
      </w:pPr>
      <w:r>
        <w:t>Zou, J.; Huss, M.; Abid, A.; Mohammadi, P.; Torkamani, A.; Telenti, A.. A primer on deep learning in genomics. Nature genetics. 2019.</w:t>
      </w:r>
    </w:p>
    <w:p>
      <w:pPr>
        <w:spacing w:line="360" w:lineRule="auto" w:after="240"/>
        <w:jc w:val="both"/>
      </w:pPr>
      <w: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spacing w:line="360" w:lineRule="auto" w:after="240"/>
        <w:jc w:val="both"/>
      </w:pPr>
      <w:r>
        <w:t>Baiardi, A.; Christandl, M.; Reiher, M.. Quantum Computing for Molecular Biology. Chembiochem : a European journal of chemical biology. 2023.</w:t>
      </w:r>
    </w:p>
    <w:p>
      <w:pPr>
        <w:spacing w:line="360" w:lineRule="auto" w:after="240"/>
        <w:jc w:val="both"/>
      </w:pPr>
      <w:r>
        <w:t>Chow, JCL.. Quantum Computing in Medicine. Medical sciences (Basel, Switzerland). 2024.</w:t>
      </w:r>
    </w:p>
    <w:p>
      <w:pPr>
        <w:spacing w:line="360" w:lineRule="auto" w:after="240"/>
        <w:jc w:val="both"/>
      </w:pPr>
      <w:r>
        <w:t>Lim, H.; Kang, DH.; Kim, J.; Pellow-Jarman, A.; McFarthing, S.; Pellow-Jarman, R.; Jeon, HN.; Oh, B.; Rhee, JK.; No, KT.. Fragment molecular orbital-based variational quantum eigensolver for quantum chemistry in the age of quantum computing. Scientific reports. 2024.</w:t>
      </w:r>
    </w:p>
    <w:p>
      <w:pPr>
        <w:spacing w:line="360" w:lineRule="auto" w:after="240"/>
        <w:jc w:val="both"/>
      </w:pPr>
      <w:r>
        <w:t>Au-Yeung, R.; Camino, B.; Rathore, O.; Kendon, V.. Quantum algorithms for scientific computing. Reports on progress in physics. Physical Society (Great Britain). 2024.</w:t>
      </w:r>
    </w:p>
    <w:p>
      <w:pPr>
        <w:spacing w:line="360" w:lineRule="auto" w:after="240"/>
        <w:jc w:val="both"/>
      </w:pPr>
      <w:r>
        <w:t>Pal, S.; Bhattacharya, M.; Lee, SS.; Chakraborty, C.. Quantum Computing in the Next-Generation Computational Biology Landscape: From Protein Folding to Molecular Dynamics. Molecular biotechnology. 2024.</w:t>
      </w:r>
    </w:p>
    <w:p>
      <w:pPr>
        <w:spacing w:line="360" w:lineRule="auto" w:after="240"/>
        <w:jc w:val="both"/>
      </w:pPr>
      <w:r>
        <w:t>Evangelista, FA.; Batista, VS.. Editorial: Quantum Computing for Chemistry. Journal of chemical theory and computation. 2023.</w:t>
      </w:r>
    </w:p>
    <w:p>
      <w:pPr>
        <w:spacing w:line="360" w:lineRule="auto" w:after="240"/>
        <w:jc w:val="both"/>
      </w:pPr>
      <w:r>
        <w:t>Ma, H.; Liu, J.; Shang, H.; Fan, Y.; Li, Z.; Yang, J.. Multiscale quantum algorithms for quantum chemistry. Chemical science. 2023.</w:t>
      </w:r>
    </w:p>
    <w:p>
      <w:pPr>
        <w:spacing w:line="360" w:lineRule="auto" w:after="240"/>
        <w:jc w:val="both"/>
      </w:pPr>
      <w:r>
        <w:t>Singh, D.. Quantum Computing Assays: Advancing Drug Metabolism Studies and Drug Delivery Design. Drug metabolism and bioanalysis letters. 2024.</w:t>
      </w:r>
    </w:p>
    <w:p>
      <w:pPr>
        <w:spacing w:line="360" w:lineRule="auto" w:after="240"/>
        <w:jc w:val="both"/>
      </w:pPr>
      <w:r>
        <w:t>Uttarkar, A.; Niranjan, V.. Quantum synergy in peptide folding: A comparative study of CVaR-variational quantum eigensolver and molecular dynamics simulation. International journal of biological macromolecules. 2024.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