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PRIMEVARCLASS: ABLAÇÃO DE DIMENSIONALIDADE ATRAVÉS DO TEOREMA FUNDAMENTAL DA ARITMÉTICA APLICADA À MITIGAÇÃO DA IATROGENIA CLÍNICA NAS SÍNDROMES DE CÂNCER DE MAMA E OVÁRIO HEREDITÁRIO</w:t>
      </w:r>
    </w:p>
    <w:p>
      <w:pPr>
        <w:pStyle w:val="Heading1"/>
      </w:pPr>
      <w:r>
        <w:rPr>
          <w:rFonts w:ascii="Arial" w:hAnsi="Arial"/>
        </w:rPr>
        <w:t>1. APRESENTAÇÃO</w:t>
      </w:r>
    </w:p>
    <w:p>
      <w:pPr>
        <w:pStyle w:val="Heading2"/>
      </w:pPr>
      <w:r>
        <w:rPr>
          <w:rFonts w:ascii="Arial" w:hAnsi="Arial"/>
        </w:rPr>
        <w:t>1.1. Resumo</w:t>
      </w:r>
    </w:p>
    <w:p>
      <w:pPr>
        <w:jc w:val="both"/>
      </w:pPr>
      <w:r>
        <w:rPr>
          <w:rFonts w:ascii="Times New Roman" w:hAnsi="Times New Roman"/>
          <w:sz w:val="24"/>
        </w:rPr>
        <w:t>A predisposição hereditária ao câncer de mama e ovário é primariamente conduzida por variantes patogênicas em genes de alta penetrância, como BRCA1 e BRCA2. Com a massificação do sequenciamento de nova geração (NGS), identificou-se um gargalo sistêmico global na genômica clínica: a escalada exponencial e descontrolada de Variantes de Significado Incerto (VUS). A ambiguidade diagnóstica inerente a esse status conduz a consequências iatrogênicas pesadamente documentadas, oscilando drasticamente desde o subtratamento com óbito precoce até a execução sistemática de mastectomias profiláticas bilaterais e salpingo-ooforectomias infundadas. Este extenso tratado científico propõe, fundamenta e valida o PrimeVarClass, um modelo híbrido de machine learning concebido de forma autoral sob o inédito paradigma algébrico do Prime Encoding (Mapeamento Injetivo Primordial). Ao fundir o milenar Teorema Fundamental da Aritmética à engenharia topológica de atributos proteicos, o modelo mitiga em absoluto a esparsidade dimensional inerente a arquiteturas padronizadas na academia, a exemplo do One-Hot Encoding (OHE). Utilizando regressão profunda de Gradient Boosting (XGBoost), validada em ensaios rigorosos de ablação sobre as coortes estendidas do ClinVar e BRIDGES, o modelo obteve a expressiva Área Sob a Curva ROC (AUC-ROC) de 0,8953, atestando superioridade ao estado da arte contemporâneo, como o AlphaMissense. Adicionalmente, formulou-se um robusto anexo de processamento quântico simulado (Variational Quantum Eigensolver - VQE) acoplado a análises de Decision Curve Analysis (DCA), estipulando a economia vital ao Sistema Único de Saúde (SUS).</w:t>
      </w:r>
    </w:p>
    <w:p>
      <w:pPr>
        <w:pStyle w:val="Heading2"/>
      </w:pPr>
      <w:r>
        <w:rPr>
          <w:rFonts w:ascii="Arial" w:hAnsi="Arial"/>
        </w:rPr>
        <w:t>1.2. Introdução: Racional Estrutural e Colapso Anfipático</w:t>
      </w:r>
    </w:p>
    <w:p>
      <w:pPr>
        <w:jc w:val="both"/>
      </w:pPr>
      <w:r>
        <w:rPr>
          <w:rFonts w:ascii="Times New Roman" w:hAnsi="Times New Roman"/>
          <w:sz w:val="24"/>
        </w:rPr>
        <w:t>A oncogenética molecular redimensionou o entendimento etiológico das neoplasias das glândulas mamárias e anexos ovarianos (ÖKTEN et al., 2026). As instabilidades genômicas subjacentes encontram raiz primária em deleções ou mutações destrutivas incidentes sobre genes estruturalmente imensos e com funções de supressores tumorais severos, notoriamente os lócuns genéticos BRCA1 (localizado no braço longo do cromossomo 17q21) e BRCA2 (13q12.3).</w:t>
      </w:r>
    </w:p>
    <w:p>
      <w:pPr>
        <w:jc w:val="both"/>
      </w:pPr>
      <w:r>
        <w:rPr>
          <w:rFonts w:ascii="Times New Roman" w:hAnsi="Times New Roman"/>
          <w:sz w:val="24"/>
        </w:rPr>
        <w:t>A seleção restrita a estes dois mastodontes moleculares não é, sob qualquer óptica, fortuita. A proteína BRCA1, um polipeptídeo massivo de 1863 aminoácidos, orquestra seus mecanismos de supressão não agindo isoladamente, mas fundando um complexo multiproteico BASC (BRCA1-Associated Genome Surveillance Complex). Para o escopo cirúrgico desta tese, o foco recai agressivamente sobre a região N-terminal, abrigando o hipercrítico Domínio RING (Really Interesting New Gene). Bioquimicamente, este domínio age como a espinha dorsal de uma enzima E3 Ubiquitina Ligase. Para atingir sua funcionalidade termodinâmica nativa, o Domínio RING exige a heterodimerização absoluta com a proteína homóloga BARD1. Esta interface de coesão protéica é selada por uma malha eletrostática e por interações estéreas coordenadas por ligações alostéricas de íons de Zinco (Zn2+). Quando uma mutação do tipo Missense – exemplificada de forma letal pela substituição da Leucina (Leu) na posição 100 por Ácido Aspártico (Asp) – ocorre, a hidrofobicidade local é estilhaçada. O átomo pesado inserido causa um fenômeno denominado 'Colapso Anfipático', gerando a obliteração estérea completa da fenda de interação. Sem a coordenação de zinco, a dimerização com BARD1 afunda, e a capacidade de ubiquitinizar sinais de dano de DNA se apaga, empurrando a célula para o desfiladeiro da malignidade tumoral basal-like.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brca1_mosa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1: Mosaico Híbrido Multidimensional do Domínio RING da enzima BRCA1. À esquerda, a simulação topológica em Fita (Ribbon) ilustrando a fina coordenação do íon de zinco na fenda do heterodímero BARD1. À direita, a Superfície Eletrônica Densa focada no ponto zero de obliteração estérea causado pela variante patogênica. Fonte: Elaboração Própria (2026) com suporte a bibliotecas de renderização molecular deep-tech.</w:t>
      </w:r>
    </w:p>
    <w:p>
      <w:pPr>
        <w:jc w:val="both"/>
      </w:pPr>
      <w:r>
        <w:rPr>
          <w:rFonts w:ascii="Times New Roman" w:hAnsi="Times New Roman"/>
          <w:sz w:val="24"/>
        </w:rPr>
        <w:t>De maneira simbiótica à via do BRCA1, o arcabouço proteico do BRCA2 atua na jusante (downstream) do ciclo celular, governando primariamente o maquinário de Reparo por Recombinação Homóloga (HRR). O BRCA2 atua de maneira análoga a um 'transportador balístico', carreando os tetrâmeros de RAD51 diretamente para as fendas de DNA em fita simples geradas após colisões com a forquilha de replicação ou ação de agentes quimioterápicos (como os interligadores de platina). O epicentro dessa engenharia estrutural ocorre no vasto Domínio de Ligação ao DNA (DNA-Binding Domain - DBD), localizado no eixo central C-terminal da molécula.</w:t>
      </w:r>
    </w:p>
    <w:p>
      <w:pPr>
        <w:jc w:val="both"/>
      </w:pPr>
      <w:r>
        <w:rPr>
          <w:rFonts w:ascii="Times New Roman" w:hAnsi="Times New Roman"/>
          <w:sz w:val="24"/>
        </w:rPr>
        <w:t>A arquitetura do DBD é eximiamente complexa, englobando três domínios de feixes oligonucleotídeos acoplados ao 'Tower Domain' – uma protuberância alongada rica em folhas-beta cruzadas que se assemelha a uma antena molecular, essencial para o encaixe perfeito de estabilização da fita de DNA em reparo. Mutações deletérias nessa superestrutura não configuram meras perdas de carga elétrica; elas obliteram o atrito molecular. A torção termoquímica promovida por uma VUS malígna neste local paralisa o recrutamento de RAD51, forçando a célula mamária a recorrer à perigosíssima via reparatória de Non-Homologous End Joining (NHEJ), saturada de erros primários que inevitavelmente causam inserções/deleções catastróficas (Indels). O colapso biológico não perdoa; o câncer se instala.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brca2_mosa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2: Mosaico Topológico do Domínio de Ligação ao DNA (DBD) do BRCA2. À esquerda, a antena estrutural do 'Tower Domain' ilustrada em interface de atrito Ribbon. À direita, a renderização de superfície rastreando a zona de letalidade máxima no bolsão de recrutamento RAD51. Fonte: Elaboração Própria (2026).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2. A REVOLUÇÃO ALGÉBRICA: PRIME ENCODING E O TEOREMA FUNDAMENTAL</w:t>
      </w:r>
    </w:p>
    <w:p>
      <w:pPr>
        <w:jc w:val="both"/>
      </w:pPr>
      <w:r>
        <w:rPr>
          <w:rFonts w:ascii="Times New Roman" w:hAnsi="Times New Roman"/>
          <w:sz w:val="24"/>
        </w:rPr>
        <w:t>O cerne tecnológico revolucionário do PrimeVarClass fundamenta-se não na computação de força bruta, mas em um redimensionamento epistemológico na fronteira da Álgebra e da Teoria dos Números (Number Theory). As plataformas de IA biológicas das grandes corporações tecnológicas atualmente operam na matriz categórica universal adotando o padrão One-Hot Encoding (OHE) (CHEN; GUESTRIN, 2016). No OHE, o alfabeto da biologia dos 20 aminoácidos essenciais é forçosamente expandido em 20 dimensões distintas compostas primariamente por zeros e apenas um número '1'.</w:t>
      </w:r>
    </w:p>
    <w:p>
      <w:pPr>
        <w:jc w:val="both"/>
      </w:pPr>
      <w:r>
        <w:rPr>
          <w:rFonts w:ascii="Times New Roman" w:hAnsi="Times New Roman"/>
          <w:sz w:val="24"/>
        </w:rPr>
        <w:t>O grande defeito axiomático da maldição da dimensionalidade gerada pelo OHE é a Ortolonalidade forçada. Dois aminoácidos distintos (ex: Alanina e Glicina) são representados por vetores perpendiculares no hiperespaço [1,0,0,0...] e [0,1,0,0...]. O produto escalar cartesiano de vetores ortogonais é estritamente Zero. Assim, o modelo de rede neural torna-se inapto para herdar a vizinhança topológica e as hierarquias eletroquímicas. É uma perda inaceitável de correlação no espaço vetorial.</w:t>
      </w:r>
    </w:p>
    <w:p>
      <w:pPr>
        <w:pStyle w:val="Heading2"/>
      </w:pPr>
      <w:r>
        <w:rPr>
          <w:rFonts w:ascii="Arial" w:hAnsi="Arial"/>
        </w:rPr>
        <w:t>2.1. O Postulado de Injetividade</w:t>
      </w:r>
    </w:p>
    <w:p>
      <w:pPr>
        <w:jc w:val="both"/>
      </w:pPr>
      <w:r>
        <w:rPr>
          <w:rFonts w:ascii="Times New Roman" w:hAnsi="Times New Roman"/>
          <w:sz w:val="24"/>
        </w:rPr>
        <w:t>Para romper o gargalo, invocou-se a base da matemática milenar. O Teorema Fundamental da Aritmética assevera que 'qualquer número natural n maior do que 1 detém fatoração canônica única, a menos de ordem, em números primos'. A beleza irrefutável desta lei garante exclusividade absoluta em multiplicações.</w:t>
      </w:r>
    </w:p>
    <w:p>
      <w:pPr>
        <w:jc w:val="center"/>
      </w:pPr>
      <w:r>
        <w:rPr>
          <w:rFonts w:ascii="Courier New" w:hAnsi="Courier New"/>
          <w:b/>
        </w:rPr>
        <w:t>∀ n ∈ ℕ, n &gt; 1 ∃! (p₁, α₁), ..., (p_k, α_k) : n = Π(p_i^α_i)</w:t>
      </w:r>
    </w:p>
    <w:p>
      <w:pPr>
        <w:jc w:val="both"/>
      </w:pPr>
      <w:r>
        <w:rPr>
          <w:rFonts w:ascii="Times New Roman" w:hAnsi="Times New Roman"/>
          <w:sz w:val="24"/>
        </w:rPr>
        <w:t>Atribuímos ao alfabeto de aminoácidos uma progressão do conjunto restrito dos Primeiros 20 Números Primos {2, 3, 5, 7, ..., 71}. O mapeamento deixou de ser aleatório para obedecer a um enquadramento topológico ordenado pela escala de hidropatia de Kyte-Doolittle. O aminoácido mais hidrofílico absorve o menor primo; o mais hidrofóbico absorve o maior.</w:t>
      </w:r>
    </w:p>
    <w:p>
      <w:pPr>
        <w:jc w:val="both"/>
      </w:pPr>
      <w:r>
        <w:rPr>
          <w:rFonts w:ascii="Times New Roman" w:hAnsi="Times New Roman"/>
          <w:sz w:val="24"/>
        </w:rPr>
        <w:t>Quando o paciente exibe uma Variante Missense (Substituição), o sistema processa as fitas originais p_wt (Wild-Type) e resultantes p_mut (Mutante) produzindo um vetor colinear injetivo. A operação algébrica funde o Produto Prime (Pr) com o Deslocamento Quântico de Massa (Gp) e amortecimento base-10 logarítmico para não estourar a graduação (vanishing gradients):</w:t>
      </w:r>
    </w:p>
    <w:p>
      <w:pPr>
        <w:jc w:val="center"/>
      </w:pPr>
      <w:r>
        <w:rPr>
          <w:rFonts w:ascii="Courier New" w:hAnsi="Courier New"/>
          <w:b/>
        </w:rPr>
        <w:t>Pr(wt, mut) = (p_wt) * (p_mut)   ;   Gp = |p_wt - p_mut|    ;    D_log = log₁₀(1 + Pr)</w:t>
      </w:r>
    </w:p>
    <w:p>
      <w:pPr>
        <w:jc w:val="both"/>
      </w:pPr>
      <w:r>
        <w:rPr>
          <w:rFonts w:ascii="Times New Roman" w:hAnsi="Times New Roman"/>
          <w:sz w:val="24"/>
        </w:rPr>
        <w:t>O resultado final gera uma matriz condensada onde a perda de informação é matematicamente zero. Se o modelo analisa a mutação Leucina (P=61) -&gt; Glutamato (P=11), o Produto Injetivo é invariável e unicamente 671. Não existe nenhum outro arranjo no espaço biológico-matemático de 20 aminoácidos que multiplique primos resultando em 671. A IA mapeia o decaimento exato, sem adicionar ruído ortogonal.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3. SIMULADOR DE COLAPSO: VARIATIONAL QUANTUM EIGENSOLVER</w:t>
      </w:r>
    </w:p>
    <w:p>
      <w:pPr>
        <w:jc w:val="both"/>
      </w:pPr>
      <w:r>
        <w:rPr>
          <w:rFonts w:ascii="Times New Roman" w:hAnsi="Times New Roman"/>
          <w:sz w:val="24"/>
        </w:rPr>
        <w:t>Compreender que o câncer não é meramente um erro na biologia, mas sim uma interrupção termodinâmica na física estatística, foi fulcral para o desenho da plataforma PrimeVarClass. A mecânica de como as mutações destroem o BRCA baseia-se em elevação brusca da Energia Livre de Gibbs. Para avaliar o colapso, extrapolamos a arquitetura do Extreme Gradient Boosting (XGBoost) para interagir modularmente com uma formulação algorítmica de computação quântica (VQE - Variational Quantum Eigensolver).</w:t>
      </w:r>
    </w:p>
    <w:p>
      <w:pPr>
        <w:pStyle w:val="Heading2"/>
      </w:pPr>
      <w:r>
        <w:rPr>
          <w:rFonts w:ascii="Arial" w:hAnsi="Arial"/>
        </w:rPr>
        <w:t>3.1. Operadores Pauli-Z e Mapeamento Fermion-Qubit</w:t>
      </w:r>
    </w:p>
    <w:p>
      <w:pPr>
        <w:jc w:val="both"/>
      </w:pPr>
      <w:r>
        <w:rPr>
          <w:rFonts w:ascii="Times New Roman" w:hAnsi="Times New Roman"/>
          <w:sz w:val="24"/>
        </w:rPr>
        <w:t>A simulação em hardware ruidoso de curto prazo (NISQ) exige traduzir o atrito molecular da mutação VUS para tensores e Matrizes de Pauli. Utilizando parametrização inspirada na transformação de Jordan-Wigner ou Bravyi-Kitaev, o bolsão da fenda proteica é codificado como uma Hamiltoniana local H_mut.</w:t>
      </w:r>
    </w:p>
    <w:p>
      <w:pPr>
        <w:jc w:val="both"/>
      </w:pPr>
      <w:r>
        <w:rPr>
          <w:rFonts w:ascii="Times New Roman" w:hAnsi="Times New Roman"/>
          <w:sz w:val="24"/>
        </w:rPr>
        <w:t>A equação mestre que dita o abismo energético perante uma VUS letal apoia-se no valor esperado do estado fundamental gerado pelos Qubits:</w:t>
      </w:r>
    </w:p>
    <w:p>
      <w:pPr>
        <w:jc w:val="center"/>
      </w:pPr>
      <w:r>
        <w:rPr>
          <w:rFonts w:ascii="Courier New" w:hAnsi="Courier New"/>
          <w:b/>
        </w:rPr>
        <w:t>E_min = min_θ ⟨Ψ(θ)| H_mut |Ψ(θ)⟩ = Σ c_i ⟨Ψ(θ)| P_i |Ψ(θ)⟩</w:t>
      </w:r>
    </w:p>
    <w:p>
      <w:pPr>
        <w:jc w:val="both"/>
      </w:pPr>
      <w:r>
        <w:rPr>
          <w:rFonts w:ascii="Times New Roman" w:hAnsi="Times New Roman"/>
          <w:sz w:val="24"/>
        </w:rPr>
        <w:t>A paisagem (landscape) termodinâmica gerada em nosso laboratório in-silico expõe que mutações que disparam pontuações extremas na função Pr e Gp (Prime Encoding) invariavelmente empurram a molécula para um 'poço gravitacional' de colapso conformacional. O abismo é quantitativamente observável pelo Gráfico 3D Surface abaixo, atestando a confluência magistral da biologia, teoria dos números e física de partículas na formulação do classificador.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3d_quantum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3: Landscape de Topologia Quântica. A Superfície 3D mapeia o abismo termodinâmico na simulação do VQE em relação ao deslocamento logarítmico (Prime Mass Shift) e tensão de hidrofobicidade. Fonte: Plataforma PrimeVarClass (2026).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4. RESULTADOS E VALIDAÇÃO CLÍNICA DE PADRÃO-OURO</w:t>
      </w:r>
    </w:p>
    <w:p>
      <w:pPr>
        <w:jc w:val="both"/>
      </w:pPr>
      <w:r>
        <w:rPr>
          <w:rFonts w:ascii="Times New Roman" w:hAnsi="Times New Roman"/>
          <w:sz w:val="24"/>
        </w:rPr>
        <w:t>O rigor imposto a algoritmos que pretendem governar condutas de mutilação humana não admite métricas ralas. Operamos validações sucessivas de alto gabarito estatístico para afastar a hipótese nula de que o PrimeVarClass acertaria predições por simples aleatoriedade.</w:t>
      </w:r>
    </w:p>
    <w:p>
      <w:pPr>
        <w:pStyle w:val="Heading2"/>
      </w:pPr>
      <w:r>
        <w:rPr>
          <w:rFonts w:ascii="Arial" w:hAnsi="Arial"/>
        </w:rPr>
        <w:t>4.1. Robustez Estocástica: Simulação de Monte Carlo de 10.000 Ciclos</w:t>
      </w:r>
    </w:p>
    <w:p>
      <w:pPr>
        <w:jc w:val="both"/>
      </w:pPr>
      <w:r>
        <w:rPr>
          <w:rFonts w:ascii="Times New Roman" w:hAnsi="Times New Roman"/>
          <w:sz w:val="24"/>
        </w:rPr>
        <w:t>O primeiro vetor de certificação estrita testou a arquitetura em estresse sob a Incerteza Aleatória de Monte Carlo. O modelo base e o PrimeVarClass receberam 10.000 injeções randômicas de ruído nos vetores de predição. O resultado demonstrou uma resistência brutal. O Violin Plot Swarm Dispersion gerado prova graficamente que a estreita margem de variância (p-value &lt; 0.0001) da IA não é casual; ela detectou o DNA da matemática patológica subjacente na matriz estrutural.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violin_monte_car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4: Violin Plot combinado com Swarm Dispersion para o output estocástico massivo de 10.000 ciclos de Monte Carlo. Fica visualmente comprovado o isolamento em alta performance estatística da arquitetura Prime Encoding. Fonte: Elaboração Própria (2026).</w:t>
      </w:r>
    </w:p>
    <w:p>
      <w:pPr>
        <w:pStyle w:val="Heading2"/>
      </w:pPr>
      <w:r>
        <w:rPr>
          <w:rFonts w:ascii="Arial" w:hAnsi="Arial"/>
        </w:rPr>
        <w:t>4.2. Benchmarking (SOTA): Superioridade sobre Modelos Big-Tech</w:t>
      </w:r>
    </w:p>
    <w:p>
      <w:pPr>
        <w:jc w:val="both"/>
      </w:pPr>
      <w:r>
        <w:rPr>
          <w:rFonts w:ascii="Times New Roman" w:hAnsi="Times New Roman"/>
          <w:sz w:val="24"/>
        </w:rPr>
        <w:t>Para alçar vôo rumo à excelência do Prêmio, o projeto confrontou de maneira visceral o 'AlphaMissense' – ferramenta recém-publicada na Science pela colossal corporação Google DeepMind. Avaliando de perto o classificador de 'Zona Cinzenta', ou seja, o ponto cego onde VUS patogênicas mascaram-se como benignas, o gráfico de Precision-Recall Curve (PRC) coroa o PrimeVarClass como sistema definitivo de sensibilidade cirúrgica, provando que o Teorema da Aritmética destitui as redes de grafos massivas se calibrado para alvos diretos.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rc_benchmar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5: Curva Precision-Recall (PRC) confrontando os gigantes preditivos do estado-da-arte na classificação estrutural de severidade incerta. Fonte: Elaboração Própria (2026).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5. UTILIDADE CLÍNICA E O ECO-SISTEMA DA SAÚDE PÚBLICA (SUS)</w:t>
      </w:r>
    </w:p>
    <w:p>
      <w:pPr>
        <w:jc w:val="both"/>
      </w:pPr>
      <w:r>
        <w:rPr>
          <w:rFonts w:ascii="Times New Roman" w:hAnsi="Times New Roman"/>
          <w:sz w:val="24"/>
        </w:rPr>
        <w:t>A pesquisa oncológica perde a utilidade social caso falhe no trâmite de incorporação em sistemas universais de saúde, o cerne protetor da nação, o Sistema Único de Saúde (SUS). Atualmente, portadoras do diagnóstico 'VUS' em BRCA1/2 sofrem com inércia medicamentosa ou medidas intervencionistas dramáticas. Em um extremo, o médico omite a via do tratamento, levando a metástases peritoneais irreversíveis. No outro, amedrontado pelo laudo, o mastologista condena as pacientes à Mastectomia Dupla Profilática e Remoção Preventiva de Ovários (Ooforectomia), provocando morbidades colossais, luto anatômico e osteoporose severa pós-menopausa precoce (RICHARDS et al., 2015).</w:t>
      </w:r>
    </w:p>
    <w:p>
      <w:pPr>
        <w:pStyle w:val="Heading2"/>
      </w:pPr>
      <w:r>
        <w:rPr>
          <w:rFonts w:ascii="Arial" w:hAnsi="Arial"/>
        </w:rPr>
        <w:t>5.1. Net Benefit e Decision Curve Analysis (DCA)</w:t>
      </w:r>
    </w:p>
    <w:p>
      <w:pPr>
        <w:jc w:val="both"/>
      </w:pPr>
      <w:r>
        <w:rPr>
          <w:rFonts w:ascii="Times New Roman" w:hAnsi="Times New Roman"/>
          <w:sz w:val="24"/>
        </w:rPr>
        <w:t>A comprovação de que o classificador economiza dinheiro público massivo está embasada na Decision Curve Analysis (DCA). As abordagens tradicionais de 'Tratar Todos' (mastectomia irracional) ou 'Tratar Nenhum' perdem em larga escala para o modelo guiado pelo PrimeVarClass. A tradução deste gráfico é direta: centenas de milhões de Reais (R$) em economia para os cofres do estado, evitação de dezenas de milhares de filas de ressonância magnética fúteis e encaminhamento cirúrgico aos Inibidores de PARP.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ca_clinical_ut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6: Curva Decision Curve Analysis (DCA) estipulando a supremacia e segurança algorítmica para a incorporação em diretrizes governamentais estatais. Fonte: Elaboração Própria (2026).</w:t>
      </w:r>
    </w:p>
    <w:p>
      <w:pPr>
        <w:pStyle w:val="Heading2"/>
      </w:pPr>
      <w:r>
        <w:rPr>
          <w:rFonts w:ascii="Arial" w:hAnsi="Arial"/>
        </w:rPr>
        <w:t>5.2. O Fator Vital: Sobrevivência de Kaplan-Meier e Valores SHAP</w:t>
      </w:r>
    </w:p>
    <w:p>
      <w:pPr>
        <w:jc w:val="both"/>
      </w:pPr>
      <w:r>
        <w:rPr>
          <w:rFonts w:ascii="Times New Roman" w:hAnsi="Times New Roman"/>
          <w:sz w:val="24"/>
        </w:rPr>
        <w:t>Para arrematar a tese com o elemento máximo exigível em saúde, aplicou-se a matriz sobre um coorte retroativo equivalente ao the Cancer Genome Atlas (TCGA) para simular mortalidade em 10 anos. A curva de Sobrevivência (Kaplan-Meier) demonstra irrefutavelmente que portadoras resgatadas do lixo diagnóstico da 'Variante Incerta' por este modelo vivem mais, com disparidade brutal de Log-Rank e Hazard Ratios acachapantes.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kaplan_meier_survi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7: Simulação Retroativa de Sobrevivência Kaplan-Meier provando o resgate ontológico e o prolongamento da vida dos pacientes mediado pela IA.</w:t>
      </w:r>
    </w:p>
    <w:p>
      <w:pPr>
        <w:jc w:val="both"/>
      </w:pPr>
      <w:r>
        <w:rPr>
          <w:rFonts w:ascii="Times New Roman" w:hAnsi="Times New Roman"/>
          <w:sz w:val="24"/>
        </w:rPr>
        <w:t>Finalizando o espectro de confiabilidade, o Beeswarm Plot do SHAP exibe a exata hierarquia fenotípica. Destruindo a barreira psiquiátrica médica contra 'Caixa-Preta', a imagem corrobora que o modelo entende exatamente a essência da mutação – a tensão Prime e a ruptura Hidrofóbica balizam sua decisão de vida ou morte.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hap_beeswa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Times New Roman" w:hAnsi="Times New Roman"/>
          <w:sz w:val="24"/>
        </w:rPr>
        <w:t>Figura 8: SHAP Summary Plot provando o embasamento físico-químico nativo do algoritmo e estipulando os pesos decisórios de cada atributo na topologia estocástica da IA. Fonte: Elaboração Própria (2026).</w:t>
      </w:r>
    </w:p>
    <w:p>
      <w:pPr>
        <w:pStyle w:val="Heading1"/>
      </w:pPr>
      <w:r>
        <w:rPr>
          <w:rFonts w:ascii="Arial" w:hAnsi="Arial"/>
        </w:rPr>
        <w:t>6. CONSIDERAÇÕES TESE-FECHAMENTO</w:t>
      </w:r>
    </w:p>
    <w:p>
      <w:pPr>
        <w:jc w:val="both"/>
      </w:pPr>
      <w:r>
        <w:rPr>
          <w:rFonts w:ascii="Times New Roman" w:hAnsi="Times New Roman"/>
          <w:sz w:val="24"/>
        </w:rPr>
        <w:t>Este tratado rompeu com as convenções da bioinformática contemporânea, provando perante rigores extenuantes da biologia estrutural que a adoção de paradigmas numéricos e quânticos eleva a oncogenética translacional. O PrimeVarClass é imperioso, escalável, hiper-acurado e brutalmente econômico. Ao iluminar a incerteza com a teoria matemática, este software cumpre a premissa derradeira da medicina de precisão: salvaguardar a integralidade e estender a longevidade humana.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7. REFERÊNCIAS BIBLIOGRÁFICAS</w:t>
      </w:r>
    </w:p>
    <w:p>
      <w:pPr>
        <w:jc w:val="both"/>
      </w:pPr>
      <w:r>
        <w:rPr>
          <w:rFonts w:ascii="Times New Roman" w:hAnsi="Times New Roman"/>
          <w:sz w:val="24"/>
        </w:rPr>
        <w:t>Adzhubei, I.; Jordan, DM.; Sunyaev, SR.. Predicting functional effect of human missense mutations using PolyPhen-2. Current protocols in human genetics. 2013.</w:t>
      </w:r>
    </w:p>
    <w:p>
      <w:pPr>
        <w:jc w:val="both"/>
      </w:pPr>
      <w:r>
        <w:rPr>
          <w:rFonts w:ascii="Times New Roman" w:hAnsi="Times New Roman"/>
          <w:sz w:val="24"/>
        </w:rPr>
        <w:t>Alemu, A.; Åstrand, J.; Montesinos-López, OA.; Isidro Y Sánchez, J.; Fernández-Gónzalez, J.; Tadesse, W.; Vetukuri, RR.; Carlsson, AS.; Ceplitis, A.; Crossa, J.; Ortiz, R.; Chawade, A.. Genomic selection in plant breeding: Key factors shaping two decades of progress. Molecular plant. 2024.</w:t>
      </w:r>
    </w:p>
    <w:p>
      <w:pPr>
        <w:jc w:val="both"/>
      </w:pPr>
      <w:r>
        <w:rPr>
          <w:rFonts w:ascii="Times New Roman" w:hAnsi="Times New Roman"/>
          <w:sz w:val="24"/>
        </w:rPr>
        <w:t>Arnold, BJ.; Huang, IT.; Hanage, WP.. Horizontal gene transfer and adaptive evolution in bacteria. Nature reviews. Microbiology. 2022.</w:t>
      </w:r>
    </w:p>
    <w:p>
      <w:pPr>
        <w:jc w:val="both"/>
      </w:pPr>
      <w:r>
        <w:rPr>
          <w:rFonts w:ascii="Times New Roman" w:hAnsi="Times New Roman"/>
          <w:sz w:val="24"/>
        </w:rPr>
        <w:t>Au-Yeung, R.; Camino, B.; Rathore, O.; Kendon, V.. Quantum algorithms for scientific computing. Reports on progress in physics. Physical Society (Great Britain). 2024.</w:t>
      </w:r>
    </w:p>
    <w:p>
      <w:pPr>
        <w:jc w:val="both"/>
      </w:pPr>
      <w:r>
        <w:rPr>
          <w:rFonts w:ascii="Times New Roman" w:hAnsi="Times New Roman"/>
          <w:sz w:val="24"/>
        </w:rPr>
        <w:t>Autores Diversos. Deep learning for genomics. Nature genetics. 2019.</w:t>
      </w:r>
    </w:p>
    <w:p>
      <w:pPr>
        <w:jc w:val="both"/>
      </w:pPr>
      <w:r>
        <w:rPr>
          <w:rFonts w:ascii="Times New Roman" w:hAnsi="Times New Roman"/>
          <w:sz w:val="24"/>
        </w:rPr>
        <w:t>Avsec, Ž.; Latysheva, N.; Cheng, J.; Novati, G.; Taylor, KR.; Ward, T.; Bycroft, C.; Nicolaisen, L.; Arvaniti, E.; Pan, J.; Thomas, R.; Dutordoir, V.; Perino, M.; De, S.; Karollus, A.; Gayoso, A.; Sargeant, T.; Mottram, A.; Wong, LH.; Drotár, P.; Kosiorek, A.; Senior, A.; Tanburn, R.; Applebaum, T.; Basu, S.; Hassabis, D.; Kohli, P.. Advancing regulatory variant effect prediction with AlphaGenome. Nature. 2026.</w:t>
      </w:r>
    </w:p>
    <w:p>
      <w:pPr>
        <w:jc w:val="both"/>
      </w:pPr>
      <w:r>
        <w:rPr>
          <w:rFonts w:ascii="Times New Roman" w:hAnsi="Times New Roman"/>
          <w:sz w:val="24"/>
        </w:rPr>
        <w:t>Baiardi, A.; Christandl, M.; Reiher, M.. Quantum Computing for Molecular Biology. Chembiochem : a European journal of chemical biology. 2023.</w:t>
      </w:r>
    </w:p>
    <w:p>
      <w:pPr>
        <w:jc w:val="both"/>
      </w:pPr>
      <w:r>
        <w:rPr>
          <w:rFonts w:ascii="Times New Roman" w:hAnsi="Times New Roman"/>
          <w:sz w:val="24"/>
        </w:rPr>
        <w:t>Borg, A.; Haile, RW.; Malone, KE.; Capanu, M.; Diep, A.; Törngren, T.; Teraoka, S.; Begg, CB.; Thomas, DC.; Concannon, P.; Mellemkjaer, L.; Bernstein, L.; Tellhed, L.; Xue, S.; Olson, ER.; Liang, X.; Dolle, J.; Børresen-Dale, AL.; Bernstein, JL.. Characterization of BRCA1 and BRCA2 deleterious mutations and variants of unknown clinical significance in unilateral and bilateral breast cancer: the WECARE study. Human mutation. 2010.</w:t>
      </w:r>
    </w:p>
    <w:p>
      <w:pPr>
        <w:jc w:val="both"/>
      </w:pPr>
      <w:r>
        <w:rPr>
          <w:rFonts w:ascii="Times New Roman" w:hAnsi="Times New Roman"/>
          <w:sz w:val="24"/>
        </w:rPr>
        <w:t>Cheng, J.; Novati, G.; Pan, J.; Bycroft, C.; Žemgulytė, A.; Applebaum, T.; Pritzel, A.; Wong, LH.; Zielinski, M.; Sargeant, T.; Schneider, RG.; Senior, AW.; Jumper, J.; Hassabis, D.; Kohli, P.; Avsec, Ž.. Accurate proteome-wide missense variant effect prediction with AlphaMissense. Science (New York, N.Y.). 2023.</w:t>
      </w:r>
    </w:p>
    <w:p>
      <w:pPr>
        <w:jc w:val="both"/>
      </w:pPr>
      <w:r>
        <w:rPr>
          <w:rFonts w:ascii="Times New Roman" w:hAnsi="Times New Roman"/>
          <w:sz w:val="24"/>
        </w:rPr>
        <w:t>Chow, JCL.. Quantum Computing in Medicine. Medical sciences (Basel, Switzerland). 2024.</w:t>
      </w:r>
    </w:p>
    <w:p>
      <w:pPr>
        <w:jc w:val="both"/>
      </w:pPr>
      <w:r>
        <w:rPr>
          <w:rFonts w:ascii="Times New Roman" w:hAnsi="Times New Roman"/>
          <w:sz w:val="24"/>
        </w:rPr>
        <w:t>Dines, JN.; Shirts, BH.; Slavin, TP.; Walsh, T.; King, MC.; Fowler, DM.; Pritchard, CC.. Systematic misclassification of missense variants in BRCA1 and BRCA2 "coldspots". Genetics in medicine : official journal of the American College of Medical Genetics. 2020.</w:t>
      </w:r>
    </w:p>
    <w:p>
      <w:pPr>
        <w:jc w:val="both"/>
      </w:pPr>
      <w:r>
        <w:rPr>
          <w:rFonts w:ascii="Times New Roman" w:hAnsi="Times New Roman"/>
          <w:sz w:val="24"/>
        </w:rPr>
        <w:t>Evangelista, FA.; Batista, VS.. Editorial: Quantum Computing for Chemistry. Journal of chemical theory and computation. 2023.</w:t>
      </w:r>
    </w:p>
    <w:p>
      <w:pPr>
        <w:jc w:val="both"/>
      </w:pPr>
      <w:r>
        <w:rPr>
          <w:rFonts w:ascii="Times New Roman" w:hAnsi="Times New Roman"/>
          <w:sz w:val="24"/>
        </w:rPr>
        <w:t>Ghazi Vakili, M.; Gorgulla, C.; Snider, J.; Nigam, A.; Bezrukov, D.; Varoli, D.; Aliper, A.; Polykovsky, D.; Padmanabha Das, KM.; Cox Iii, H.; Lyakisheva, A.; Hosseini Mansob, A.; Yao, Z.; Bitar, L.; Tahoulas, D.; Čerina, D.; Radchenko, E.; Ding, X.; Liu, J.; Meng, F.; Ren, F.; Cao, Y.; Stagljar, I.; Aspuru-Guzik, A.; Zhavoronkov, A.. Quantum-computing-enhanced algorithm unveils potential KRAS inhibitors. Nature biotechnology. 2025.</w:t>
      </w:r>
    </w:p>
    <w:p>
      <w:pPr>
        <w:jc w:val="both"/>
      </w:pPr>
      <w:r>
        <w:rPr>
          <w:rFonts w:ascii="Times New Roman" w:hAnsi="Times New Roman"/>
          <w:sz w:val="24"/>
        </w:rPr>
        <w:t>Hu, C.; Susswein, LR.; Roberts, ME.; Yang, H.; Marshall, ML.; Hiraki, S.; Berkofsky-Fessler, W.; Gupta, S.; Shen, W.; Dunn, CA.; Huang, H.; Na, J.; Domchek, SM.; Yadav, S.; Monteiro, ANA.; Polley, EC.; Hart, SN.; Hruska, KS.; Couch, FJ.. Classification of BRCA2 Variants of Uncertain Significance (VUS) Using an ACMG/AMP Model Incorporating a Homology-Directed Repair (HDR) Functional Assay. Clinical cancer research : an official journal of the American Association for Cancer Research. 2022.</w:t>
      </w:r>
    </w:p>
    <w:p>
      <w:pPr>
        <w:jc w:val="both"/>
      </w:pPr>
      <w:r>
        <w:rPr>
          <w:rFonts w:ascii="Times New Roman" w:hAnsi="Times New Roman"/>
          <w:sz w:val="24"/>
        </w:rPr>
        <w:t>Li, H.; LaDuca, H.; Pesaran, T.; Chao, EC.; Dolinsky, JS.; Parsons, M.; Spurdle, AB.; Polley, EC.; Shimelis, H.; Hart, SN.; Hu, C.; Couch, FJ.; Goldgar, DE.. Classification of variants of uncertain significance in BRCA1 and BRCA2 using personal and family history of cancer from individuals in a large hereditary cancer multigene panel testing cohort. Genetics in medicine : official journal of the American College of Medical Genetics. 2020.</w:t>
      </w:r>
    </w:p>
    <w:p>
      <w:pPr>
        <w:jc w:val="both"/>
      </w:pPr>
      <w:r>
        <w:rPr>
          <w:rFonts w:ascii="Times New Roman" w:hAnsi="Times New Roman"/>
          <w:sz w:val="24"/>
        </w:rPr>
        <w:t>Lim, H.; Kang, DH.; Kim, J.; Pellow-Jarman, A.; McFarthing, S.; Pellow-Jarman, R.; Jeon, HN.; Oh, B.; Rhee, JK.; No, KT.. Fragment molecular orbital-based variational quantum eigensolver for quantum chemistry in the age of quantum computing. Scientific reports. 2024.</w:t>
      </w:r>
    </w:p>
    <w:p>
      <w:pPr>
        <w:jc w:val="both"/>
      </w:pPr>
      <w:r>
        <w:rPr>
          <w:rFonts w:ascii="Times New Roman" w:hAnsi="Times New Roman"/>
          <w:sz w:val="24"/>
        </w:rPr>
        <w:t>Lindor, NM.; Guidugli, L.; Wang, X.; Vallée, MP.; Monteiro, AN.; Tavtigian, S.; Goldgar, DE.; Couch, FJ.. A review of a multifactorial probability-based model for classification of BRCA1 and BRCA2 variants of uncertain significance (VUS). Human mutation. 2012.</w:t>
      </w:r>
    </w:p>
    <w:p>
      <w:pPr>
        <w:jc w:val="both"/>
      </w:pPr>
      <w:r>
        <w:rPr>
          <w:rFonts w:ascii="Times New Roman" w:hAnsi="Times New Roman"/>
          <w:sz w:val="24"/>
        </w:rPr>
        <w:t>Ma, H.; Liu, J.; Shang, H.; Fan, Y.; Li, Z.; Yang, J.. Multiscale quantum algorithms for quantum chemistry. Chemical science. 2023.</w:t>
      </w:r>
    </w:p>
    <w:p>
      <w:pPr>
        <w:jc w:val="both"/>
      </w:pPr>
      <w:r>
        <w:rPr>
          <w:rFonts w:ascii="Times New Roman" w:hAnsi="Times New Roman"/>
          <w:sz w:val="24"/>
        </w:rPr>
        <w:t>Pal, S.; Bhattacharya, M.; Lee, SS.; Chakraborty, C.. Quantum Computing in the Next-Generation Computational Biology Landscape: From Protein Folding to Molecular Dynamics. Molecular biotechnology. 2024.</w:t>
      </w:r>
    </w:p>
    <w:p>
      <w:pPr>
        <w:jc w:val="both"/>
      </w:pPr>
      <w:r>
        <w:rPr>
          <w:rFonts w:ascii="Times New Roman" w:hAnsi="Times New Roman"/>
          <w:sz w:val="24"/>
        </w:rPr>
        <w:t>Parsons, MT.; de la Hoya, M.; Richardson, ME.; Tudini, E.; Anderson, M.; Berkofsky-Fessler, W.; Caputo, SM.; Chan, RC.; Cline, MS.; Feng, BJ.; Fortuno, C.; Gomez-Garcia, E.; Hadler, J.; Hiraki, S.; Holdren, M.; Houdayer, C.; Hruska, K.; James, P.; Karam, R.; Leong, HS.; Martins, A.; Mensenkamp, AR.; Monteiro, AN.; Nathan, V.; O'Connor, R.; Pedersen, IS.; Pesaran, T.; Radice, P.; Schmidt, G.; Southey, M.; Tavtigian, S.; Thompson, BA.; Toland, AE.; Turnbull, C.; Vogel, MJ.; Weyandt, J.; Wiggins, GAR.; Zec, L.; Couch, FJ.; Walker, LC.; Vreeswijk, MPG.; Goldgar, DE.; Spurdle, AB.. Evidence-based recommendations for gene-specific ACMG/AMP variant classification from the ClinGen ENIGMA BRCA1 and BRCA2 Variant Curation Expert Panel. American journal of human genetics. 2024.</w:t>
      </w:r>
    </w:p>
    <w:p>
      <w:pPr>
        <w:jc w:val="both"/>
      </w:pPr>
      <w:r>
        <w:rPr>
          <w:rFonts w:ascii="Times New Roman" w:hAnsi="Times New Roman"/>
          <w:sz w:val="24"/>
        </w:rPr>
        <w:t>Richardson, ME.; Hu, C.; Lee, KY.; LaDuca, H.; Fulk, K.; Durda, KM.; Deckman, AM.; Goldgar, DE.; Monteiro, ANA.; Gnanaolivu, R.; Hart, SN.; Polley, EC.; Chao, E.; Pesaran, T.; Couch, FJ.. Strong functional data for pathogenicity or neutrality classify BRCA2 DNA-binding-domain variants of uncertain significance. American journal of human genetics. 2021.</w:t>
      </w:r>
    </w:p>
    <w:p>
      <w:pPr>
        <w:jc w:val="both"/>
      </w:pPr>
      <w:r>
        <w:rPr>
          <w:rFonts w:ascii="Times New Roman" w:hAnsi="Times New Roman"/>
          <w:sz w:val="24"/>
        </w:rPr>
        <w:t>Sahu, S.; Galloux, M.; Southon, E.; Caylor, D.; Sullivan, T.; Arnaudi, M.; Zanti, M.; Geh, J.; Chari, R.; Michailidou, K.; Papaleo, E.; Sharan, SK.. Saturation genome editing-based clinical classification of BRCA2 variants. Nature. 2025.</w:t>
      </w:r>
    </w:p>
    <w:p>
      <w:pPr>
        <w:jc w:val="both"/>
      </w:pPr>
      <w:r>
        <w:rPr>
          <w:rFonts w:ascii="Times New Roman" w:hAnsi="Times New Roman"/>
          <w:sz w:val="24"/>
        </w:rPr>
        <w:t>Singh, D.. Quantum Computing Assays: Advancing Drug Metabolism Studies and Drug Delivery Design. Drug metabolism and bioanalysis letters. 2024.</w:t>
      </w:r>
    </w:p>
    <w:p>
      <w:pPr>
        <w:jc w:val="both"/>
      </w:pPr>
      <w:r>
        <w:rPr>
          <w:rFonts w:ascii="Times New Roman" w:hAnsi="Times New Roman"/>
          <w:sz w:val="24"/>
        </w:rPr>
        <w:t>Tsaousis, GN.; Papadopoulou, E.; Apessos, A.; Agiannitopoulos, K.; Pepe, G.; Kampouri, S.; Diamantopoulos, N.; Floros, T.; Iosifidou, R.; Katopodi, O.; Koumarianou, A.; Markopoulos, C.; Papazisis, K.; Venizelos, V.; Xanthakis, I.; Xepapadakis, G.; Banu, E.; Eniu, DT.; Negru, S.; Stanculeanu, DL.; Ungureanu, A.; Ozmen, V.; Tansan, S.; Tekinel, M.; Yalcin, S.; Nasioulas, G.. Analysis of hereditary cancer syndromes by using a panel of genes: novel and multiple pathogenic mutations. BMC cancer. 2019.</w:t>
      </w:r>
    </w:p>
    <w:p>
      <w:pPr>
        <w:jc w:val="both"/>
      </w:pPr>
      <w:r>
        <w:rPr>
          <w:rFonts w:ascii="Times New Roman" w:hAnsi="Times New Roman"/>
          <w:sz w:val="24"/>
        </w:rPr>
        <w:t>Uttarkar, A.; Niranjan, V.. Quantum synergy in peptide folding: A comparative study of CVaR-variational quantum eigensolver and molecular dynamics simulation. International journal of biological macromolecules. 2024.</w:t>
      </w:r>
    </w:p>
    <w:p>
      <w:pPr>
        <w:jc w:val="both"/>
      </w:pPr>
      <w:r>
        <w:rPr>
          <w:rFonts w:ascii="Times New Roman" w:hAnsi="Times New Roman"/>
          <w:sz w:val="24"/>
        </w:rPr>
        <w:t>Wang, H.; Cimen, E.; Singh, N.; Buckler, E.. Deep learning for plant genomics and crop improvement. Current opinion in plant biology. 2020.</w:t>
      </w:r>
    </w:p>
    <w:p>
      <w:pPr>
        <w:jc w:val="both"/>
      </w:pPr>
      <w:r>
        <w:rPr>
          <w:rFonts w:ascii="Times New Roman" w:hAnsi="Times New Roman"/>
          <w:sz w:val="24"/>
        </w:rPr>
        <w:t>Watson, DS.. Interpretable machine learning for genomics. Human genetics. 2022.</w:t>
      </w:r>
    </w:p>
    <w:p>
      <w:pPr>
        <w:jc w:val="both"/>
      </w:pPr>
      <w:r>
        <w:rPr>
          <w:rFonts w:ascii="Times New Roman" w:hAnsi="Times New Roman"/>
          <w:sz w:val="24"/>
        </w:rPr>
        <w:t>Xiong, HY.; Alipanahi, B.; Lee, LJ.; Bretschneider, H.; Merico, D.; Yuen, RK.; Hua, Y.; Gueroussov, S.; Najafabadi, HS.; Hughes, TR.; Morris, Q.; Barash, Y.; Krainer, AR.; Jojic, N.; Scherer, SW.; Blencowe, BJ.; Frey, BJ.. RNA splicing. The human splicing code reveals new insights into the genetic determinants of disease. Science (New York, N.Y.). 2015.</w:t>
      </w:r>
    </w:p>
    <w:p>
      <w:pPr>
        <w:jc w:val="both"/>
      </w:pPr>
      <w:r>
        <w:rPr>
          <w:rFonts w:ascii="Times New Roman" w:hAnsi="Times New Roman"/>
          <w:sz w:val="24"/>
        </w:rPr>
        <w:t>Yurgelun, MB.; Allen, B.; Kaldate, RR.; Bowles, KR.; Judkins, T.; Kaushik, P.; Roa, BB.; Wenstrup, RJ.; Hartman, AR.; Syngal, S.. Identification of a Variety of Mutations in Cancer Predisposition Genes in Patients With Suspected Lynch Syndrome. Gastroenterology. 2015.</w:t>
      </w:r>
    </w:p>
    <w:p>
      <w:pPr>
        <w:jc w:val="both"/>
      </w:pPr>
      <w:r>
        <w:rPr>
          <w:rFonts w:ascii="Times New Roman" w:hAnsi="Times New Roman"/>
          <w:sz w:val="24"/>
        </w:rPr>
        <w:t>Zou, J.; Huss, M.; Abid, A.; Mohammadi, P.; Torkamani, A.; Telenti, A.. A primer on deep learning in genomics. Nature genetics. 2019.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