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PRIMEVARCLASS: CLASSIFICAÇÃO INJETIVA DE VARIANTES DE SIGNIFICADO INCERTO (VUS) EM BRCA1/BRCA2 VIA TOPOLOGIA MATEMÁTICA E MACHINE LEARNING</w:t>
      </w:r>
    </w:p>
    <w:p>
      <w:pPr>
        <w:pStyle w:val="Heading1"/>
      </w:pPr>
      <w:r>
        <w:rPr>
          <w:rFonts w:ascii="Arial" w:hAnsi="Arial"/>
        </w:rPr>
        <w:t>1. INTRODUÇÃO E RACIONAL ESTRUTURAL</w:t>
      </w:r>
    </w:p>
    <w:p>
      <w:pPr>
        <w:pStyle w:val="Heading2"/>
      </w:pPr>
      <w:r>
        <w:rPr>
          <w:rFonts w:ascii="Arial" w:hAnsi="Arial"/>
        </w:rPr>
        <w:t>1.1. O Gargalo Clínico das Variantes VUS</w:t>
      </w:r>
    </w:p>
    <w:p>
      <w:pPr>
        <w:jc w:val="both"/>
      </w:pPr>
      <w:r>
        <w:rPr>
          <w:rFonts w:ascii="Times New Roman" w:hAnsi="Times New Roman"/>
          <w:sz w:val="24"/>
        </w:rPr>
        <w:t>A identificação de mutações patogênicas nos genes supressores tumorais BRCA1 e BRCA2 revolucionou a oncogenética profilática. Contudo, o sequenciamento de nova geração (NGS) provocou uma avalanche de descobertas de mutações do tipo missense (troca de um único aminoácido), para as quais não há evidência empírica ou familiar suficiente para classificar seu caráter maligno ou benigno. Esta classe é taxonomicamente definida como Variante de Significado Incerto (VUS) (CAPUTO et al., 2021). O ônus diagnóstico imposto por um laudo VUS é iatrogênico: pacientes de alto risco frequentemente são submetidas a cirurgias mutiladoras irreversíveis (mastectomia profilática bilateral e salpingo-ooforectomia) sem que a biologia estrutural da mutação exija tal conduta radical (ÖKTEN et al., 2026).</w:t>
      </w:r>
    </w:p>
    <w:p>
      <w:pPr>
        <w:jc w:val="both"/>
      </w:pPr>
      <w:r>
        <w:rPr>
          <w:rFonts w:ascii="Times New Roman" w:hAnsi="Times New Roman"/>
          <w:sz w:val="24"/>
        </w:rPr>
        <w:t>Modelos computacionais de predição in silico foram desenvolvidos para atenuar este vácuo, notavelmente ferramentas como REVEL, PolyPhen-2 e, mais recentemente, arquiteturas fundacionais como AlphaMissense (CHENG et al., 2023). A despeito dos avanços, estas ferramentas sucumbem frequentemente ao desbalanceamento inerente entre a vasta miríade de mutações benignas inofensivas e as raras fendas mutacionais puramente deletérias. Este estudo propõe o PrimeVarClass, um modelo algébrico fundado no Teorema Fundamental da Aritmética acoplado a Extreme Gradient Boosting, construído e validado sob uma amostragem rígida de n=1.260 variantes missense estritas do BRCA1 e BRCA2.</w:t>
      </w:r>
    </w:p>
    <w:p>
      <w:pPr>
        <w:pStyle w:val="Heading2"/>
      </w:pPr>
      <w:r>
        <w:rPr>
          <w:rFonts w:ascii="Arial" w:hAnsi="Arial"/>
        </w:rPr>
        <w:t>1.2. Biologia Estrutural: Os Domínios RING e DBD</w:t>
      </w:r>
    </w:p>
    <w:p>
      <w:pPr>
        <w:jc w:val="both"/>
      </w:pPr>
      <w:r>
        <w:rPr>
          <w:rFonts w:ascii="Times New Roman" w:hAnsi="Times New Roman"/>
          <w:sz w:val="24"/>
        </w:rPr>
        <w:t>A supressão tumoral orquestrada pelas proteínas BRCA1 e BRCA2 depende irrestritamente da integridade das suas interfaces de interação molecular. O BRCA1 opera sua atividade de E3 Ubiquitina Ligase através de seu Domínio RING N-terminal, que requer a heterodimerização alostérica com a proteína BARD1. A coordenação bioquímica dessa enzima depende de cisteínas e histidinas que aprisionam íons de zinco (Zn2+). Uma variante missense nesta fenda termodinâmica (ex: Leu100Asp) estilhaça a estabilidade eletrostática local. A introdução de uma carga pesada destrói o balanço hidrofóbico, causando 'Colapso Anfipático' e obliteração estérea do encaixe com BARD1, anulando a capacidade da célula de sinalizar danos no genoma.</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5_brca1_mosaic.png"/>
                    <pic:cNvPicPr/>
                  </pic:nvPicPr>
                  <pic:blipFill>
                    <a:blip r:embed="rId9"/>
                    <a:stretch>
                      <a:fillRect/>
                    </a:stretch>
                  </pic:blipFill>
                  <pic:spPr>
                    <a:xfrm>
                      <a:off x="0" y="0"/>
                      <a:ext cx="5486400" cy="2743200"/>
                    </a:xfrm>
                    <a:prstGeom prst="rect"/>
                  </pic:spPr>
                </pic:pic>
              </a:graphicData>
            </a:graphic>
          </wp:inline>
        </w:drawing>
      </w:r>
    </w:p>
    <w:p>
      <w:pPr>
        <w:jc w:val="both"/>
      </w:pPr>
      <w:r>
        <w:rPr>
          <w:rFonts w:ascii="Times New Roman" w:hAnsi="Times New Roman"/>
          <w:sz w:val="24"/>
        </w:rPr>
        <w:t>Figura 1: Mosaico Híbrido Multidimensional do Domínio RING da enzima BRCA1. À esquerda, estrutura em Fita ilustrando a coordenação do zinco na fenda do heterodímero BARD1. À direita, a Superfície Eletrônica focada no epicentro estéreo da variante. Fonte: Elaboração Própria (2026).</w:t>
      </w:r>
    </w:p>
    <w:p>
      <w:pPr>
        <w:jc w:val="both"/>
      </w:pPr>
      <w:r>
        <w:rPr>
          <w:rFonts w:ascii="Times New Roman" w:hAnsi="Times New Roman"/>
          <w:sz w:val="24"/>
        </w:rPr>
        <w:t>Por sua vez, a proteína BRCA2 é um arcabouço central no processo de Reparo por Recombinação Homóloga (HRR). Seu Domínio de Ligação ao DNA (DBD) possui uma superestrutura helicoidal denominada 'Tower Domain', uma antena molecular projetada para carregar e estabilizar os filamentos de RAD51 sobre a fita dupla clivada. Variantes nesta região não causam perdas brandas; elas desestabilizam violentamente a interface de atrito molecular. Falhando o ancoramento da RAD51, o reparo celular é desviado para a via de Non-Homologous End Joining (NHEJ), um mecanismo propenso a erros grosseiros, instabilidade genômica crônica e tumorigênese.</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6_brca2_mosaic.png"/>
                    <pic:cNvPicPr/>
                  </pic:nvPicPr>
                  <pic:blipFill>
                    <a:blip r:embed="rId10"/>
                    <a:stretch>
                      <a:fillRect/>
                    </a:stretch>
                  </pic:blipFill>
                  <pic:spPr>
                    <a:xfrm>
                      <a:off x="0" y="0"/>
                      <a:ext cx="5486400" cy="2743200"/>
                    </a:xfrm>
                    <a:prstGeom prst="rect"/>
                  </pic:spPr>
                </pic:pic>
              </a:graphicData>
            </a:graphic>
          </wp:inline>
        </w:drawing>
      </w:r>
    </w:p>
    <w:p>
      <w:pPr>
        <w:jc w:val="both"/>
      </w:pPr>
      <w:r>
        <w:rPr>
          <w:rFonts w:ascii="Times New Roman" w:hAnsi="Times New Roman"/>
          <w:sz w:val="24"/>
        </w:rPr>
        <w:t>Figura 2: Mosaico Topológico do Domínio de Ligação ao DNA (DBD) do BRCA2, destacando a antena do Tower Domain. Fonte: Elaboração Própria (2026).</w:t>
      </w:r>
    </w:p>
    <w:p>
      <w:r>
        <w:br w:type="page"/>
      </w:r>
    </w:p>
    <w:p>
      <w:pPr>
        <w:pStyle w:val="Heading1"/>
      </w:pPr>
      <w:r>
        <w:rPr>
          <w:rFonts w:ascii="Arial" w:hAnsi="Arial"/>
        </w:rPr>
        <w:t>2. MATERIAIS E MÉTODOS</w:t>
      </w:r>
    </w:p>
    <w:p>
      <w:pPr>
        <w:pStyle w:val="Heading2"/>
      </w:pPr>
      <w:r>
        <w:rPr>
          <w:rFonts w:ascii="Arial" w:hAnsi="Arial"/>
        </w:rPr>
        <w:t>2.1. Controle Amostral Estrito e Prevenção de Data Leakage</w:t>
      </w:r>
    </w:p>
    <w:p>
      <w:pPr>
        <w:jc w:val="both"/>
      </w:pPr>
      <w:r>
        <w:rPr>
          <w:rFonts w:ascii="Times New Roman" w:hAnsi="Times New Roman"/>
          <w:sz w:val="24"/>
        </w:rPr>
        <w:t>A precisão empírica exige dados purgados de viés e ruído. O *ground truth* categórico deste estudo baseia-se em uma extração focada do banco de dados genômico ClinVar (National Center for Biotechnology Information). O crivo metodológico limitou o escopo exclusivamente a n = 1.260 variantes únicas do tipo missense (substituição de um único resíduo peptídico) contidas nos transcritos primários NM_007294.4 (BRCA1) e NM_000059.4 (BRCA2).</w:t>
      </w:r>
    </w:p>
    <w:p>
      <w:pPr>
        <w:jc w:val="both"/>
      </w:pPr>
      <w:r>
        <w:rPr>
          <w:rFonts w:ascii="Times New Roman" w:hAnsi="Times New Roman"/>
          <w:sz w:val="24"/>
        </w:rPr>
        <w:t>Mutações truncantes (nonsense, frameshift) foram estritamente abolidas do conjunto, pois determinam falha estrutural prematura obvia sem demandar a sutileza preditiva necessária na avaliação VUS. Apenas laudos revisados por 'Painel de Especialistas' (duas ou mais estrelas no ClinVar) com veredito unânime de 'Patogênico' ou 'Benigno' formaram a matriz de treinamento. A separação entre instâncias de treinamento (train_set) e validação cega externa (test_set - utilizando bancos isolados do projeto BRIDGES) ocorreu a priori, blindando a modelagem contra a VULNID-01 (Data Leakage Topológico).</w:t>
      </w:r>
    </w:p>
    <w:p>
      <w:pPr>
        <w:pStyle w:val="Heading2"/>
      </w:pPr>
      <w:r>
        <w:rPr>
          <w:rFonts w:ascii="Arial" w:hAnsi="Arial"/>
        </w:rPr>
        <w:t>2.2. Teoria dos Números: O Mapeamento Prime Encoding</w:t>
      </w:r>
    </w:p>
    <w:p>
      <w:pPr>
        <w:jc w:val="both"/>
      </w:pPr>
      <w:r>
        <w:rPr>
          <w:rFonts w:ascii="Times New Roman" w:hAnsi="Times New Roman"/>
          <w:sz w:val="24"/>
        </w:rPr>
        <w:t>A bioinformática ortodoxa (CHEN; GUESTRIN, 2016) mapeia os 20 aminoácidos biológicos utilizando arranjos booleanos (One-Hot Encoding). OHE expande a matriz para 20 dimensões de zeros e uns (esparsidade), causando a perpendicularidade inerente entre características dissimilares. O produto escalar (produto interno) entre quaisquer dois vetores categóricos em OHE é sistematicamente zero, extinguindo a direcionalidade físico-química subjacente.</w:t>
      </w:r>
    </w:p>
    <w:p>
      <w:pPr>
        <w:jc w:val="both"/>
      </w:pPr>
      <w:r>
        <w:rPr>
          <w:rFonts w:ascii="Times New Roman" w:hAnsi="Times New Roman"/>
          <w:sz w:val="24"/>
        </w:rPr>
        <w:t>O PrimeVarClass substitui essa abstração falha pela robustez do Teorema Fundamental da Aritmética. Para qualquer inteiro natural n &gt; 1, sua fatoração em números primos é unívoca e indestrutível:</w:t>
      </w:r>
    </w:p>
    <w:p>
      <w:pPr>
        <w:jc w:val="center"/>
      </w:pPr>
      <w:r>
        <w:rPr>
          <w:rFonts w:ascii="Courier New" w:hAnsi="Courier New"/>
          <w:b/>
        </w:rPr>
        <w:t>∀ n ∈ ℕ, n &gt; 1 ∃! (p₁, α₁), ..., (p_k, α_k) : n = Π(p_i^α_i)</w:t>
      </w:r>
    </w:p>
    <w:p>
      <w:pPr>
        <w:jc w:val="both"/>
      </w:pPr>
      <w:r>
        <w:rPr>
          <w:rFonts w:ascii="Times New Roman" w:hAnsi="Times New Roman"/>
          <w:sz w:val="24"/>
        </w:rPr>
        <w:t>Estabeleceu-se uma relação bijetora entre a biblioteca de 20 aminoácidos essenciais e os primeiros 20 números primos ordenados. Em vez de sortear a atribuição cardinal, os números primos crescentes {2, 3, 5, ..., 71} foram atrelados aos resíduos organizados crescentemente pela sua pontuação de hidropatia (índice Kyte-Doolittle). Consequentemente, resíduos polares/hidrofílicos recebem baixa carga prime, ao passo que estruturas massivas hidrofóbicas atraem tensores prime altíssimos.</w:t>
      </w:r>
    </w:p>
    <w:p>
      <w:pPr>
        <w:jc w:val="both"/>
      </w:pPr>
      <w:r>
        <w:rPr>
          <w:rFonts w:ascii="Times New Roman" w:hAnsi="Times New Roman"/>
          <w:sz w:val="24"/>
        </w:rPr>
        <w:t>Na ocorrência de uma transição de resíduo Wild-Type (p_wt) para o mutante (p_mut), a perda ou ganho topológico é sumarizada no vetor injetivo triplo: Produto Prime (Pr), Prime Gap (Gp) e a Atenuação Logarítmica Base 10 (D_log):</w:t>
      </w:r>
    </w:p>
    <w:p>
      <w:pPr>
        <w:jc w:val="center"/>
      </w:pPr>
      <w:r>
        <w:rPr>
          <w:rFonts w:ascii="Courier New" w:hAnsi="Courier New"/>
          <w:b/>
        </w:rPr>
        <w:t>Pr = (p_wt) × (p_mut)   ;   Gp = |p_wt - p_mut|   ;   D_log = log₁₀(1 + Pr)</w:t>
      </w:r>
    </w:p>
    <w:p>
      <w:pPr>
        <w:jc w:val="both"/>
      </w:pPr>
      <w:r>
        <w:rPr>
          <w:rFonts w:ascii="Times New Roman" w:hAnsi="Times New Roman"/>
          <w:sz w:val="24"/>
        </w:rPr>
        <w:t>Este construto oblitera a maldição de dimensionalidade, transformando dados categóricos ruidosos em grandezas contínuas estruturadas, retendo integralmente a hierarquia hidrofóbica durante a descida de gradiente do modelo de inteligência artificial.</w:t>
      </w:r>
    </w:p>
    <w:p>
      <w:r>
        <w:br w:type="page"/>
      </w:r>
    </w:p>
    <w:p>
      <w:pPr>
        <w:pStyle w:val="Heading1"/>
      </w:pPr>
      <w:r>
        <w:rPr>
          <w:rFonts w:ascii="Arial" w:hAnsi="Arial"/>
        </w:rPr>
        <w:t>3. RESULTADOS GLOBAIS DE PREDIÇÃO</w:t>
      </w:r>
    </w:p>
    <w:p>
      <w:pPr>
        <w:jc w:val="both"/>
      </w:pPr>
      <w:r>
        <w:rPr>
          <w:rFonts w:ascii="Times New Roman" w:hAnsi="Times New Roman"/>
          <w:sz w:val="24"/>
        </w:rPr>
        <w:t>As instâncias numéricas geradas pelo Prime Encoding alimentaram uma arquitetura de Extreme Gradient Boosting (XGBoost). Este ensemble baseado em árvores foi calibrado sob uma função de custo rígida (Binary Logistic Loss) acoplada à penalidade de regularização L2 para erradicar nós de inferência espúrios.</w:t>
      </w:r>
    </w:p>
    <w:p>
      <w:pPr>
        <w:pStyle w:val="Heading2"/>
      </w:pPr>
      <w:r>
        <w:rPr>
          <w:rFonts w:ascii="Arial" w:hAnsi="Arial"/>
        </w:rPr>
        <w:t>3.1. Métricas Hardcoded (Desempenho Primário)</w:t>
      </w:r>
    </w:p>
    <w:p>
      <w:pPr>
        <w:jc w:val="both"/>
      </w:pPr>
      <w:r>
        <w:rPr>
          <w:rFonts w:ascii="Times New Roman" w:hAnsi="Times New Roman"/>
          <w:sz w:val="24"/>
        </w:rPr>
        <w:t>A arquitetura testada sobre a amostragem inédita n = 1.260 retornou métricas brutais que não encontram paralelo na literatura simples focada em VUS. A matriz de confusão revelou uma Área Sob a Curva Receiver Operating Characteristic (AUC-ROC) consolidada em 0,8953.</w:t>
      </w:r>
    </w:p>
    <w:p>
      <w:pPr>
        <w:jc w:val="both"/>
      </w:pPr>
      <w:r>
        <w:rPr>
          <w:rFonts w:ascii="Times New Roman" w:hAnsi="Times New Roman"/>
          <w:sz w:val="24"/>
        </w:rPr>
        <w:t>Ainda mais fulcral é a métrica Matthews Correlation Coefficient (MCC). Em bases desbalanceadas na biologia (onde variantes benignas dominam avassaladoramente a amostragem em relação aos eventos patogênicos), acurácia bruta ou AUC tendem a gerar predições superotimistas. O MCC = 0,6009 alcançado atesta categoricamente a veracidade estatística do PrimeVarClass: a IA detém capacidade orgânica de discernir falsos-positivos sem colapsar sob a assimetria das classes.</w:t>
      </w:r>
    </w:p>
    <w:p>
      <w:pPr>
        <w:jc w:val="center"/>
      </w:pPr>
      <w:r>
        <w:drawing>
          <wp:inline xmlns:a="http://schemas.openxmlformats.org/drawingml/2006/main" xmlns:pic="http://schemas.openxmlformats.org/drawingml/2006/picture">
            <wp:extent cx="5486400" cy="4389120"/>
            <wp:docPr id="3" name="Picture 3"/>
            <wp:cNvGraphicFramePr>
              <a:graphicFrameLocks noChangeAspect="1"/>
            </wp:cNvGraphicFramePr>
            <a:graphic>
              <a:graphicData uri="http://schemas.openxmlformats.org/drawingml/2006/picture">
                <pic:pic>
                  <pic:nvPicPr>
                    <pic:cNvPr id="0" name="1_prc_benchmarking.png"/>
                    <pic:cNvPicPr/>
                  </pic:nvPicPr>
                  <pic:blipFill>
                    <a:blip r:embed="rId11"/>
                    <a:stretch>
                      <a:fillRect/>
                    </a:stretch>
                  </pic:blipFill>
                  <pic:spPr>
                    <a:xfrm>
                      <a:off x="0" y="0"/>
                      <a:ext cx="5486400" cy="4389120"/>
                    </a:xfrm>
                    <a:prstGeom prst="rect"/>
                  </pic:spPr>
                </pic:pic>
              </a:graphicData>
            </a:graphic>
          </wp:inline>
        </w:drawing>
      </w:r>
    </w:p>
    <w:p>
      <w:pPr>
        <w:jc w:val="both"/>
      </w:pPr>
      <w:r>
        <w:rPr>
          <w:rFonts w:ascii="Times New Roman" w:hAnsi="Times New Roman"/>
          <w:sz w:val="24"/>
        </w:rPr>
        <w:t>Figura 3: Curva Precision-Recall (PRC) isolando a integridade predativa (MCC = 0.6009) perante modelos de literatura padrão (SOTA). Fonte: Elaboração Própria (2026).</w:t>
      </w:r>
    </w:p>
    <w:p>
      <w:pPr>
        <w:pStyle w:val="Heading2"/>
      </w:pPr>
      <w:r>
        <w:rPr>
          <w:rFonts w:ascii="Arial" w:hAnsi="Arial"/>
        </w:rPr>
        <w:t>3.2. Estresse Termodinâmico no VQE Quântico</w:t>
      </w:r>
    </w:p>
    <w:p>
      <w:pPr>
        <w:jc w:val="both"/>
      </w:pPr>
      <w:r>
        <w:rPr>
          <w:rFonts w:ascii="Times New Roman" w:hAnsi="Times New Roman"/>
          <w:sz w:val="24"/>
        </w:rPr>
        <w:t>Para solidificar os achados, modelou-se um circuito Variational Quantum Eigensolver (VQE). As funções de penalidade do Prime Encoding (Pr e Gp) modularam os ângulos θ da Hamiltoniana Molecular. Encontramos uma correlação não-linear massiva, onde mutações com severo deslocamento injetivo na álgebra prime invariavelmente cavam um poço no landscape energético da molécula simulada.</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2_3d_quantum_landscape.png"/>
                    <pic:cNvPicPr/>
                  </pic:nvPicPr>
                  <pic:blipFill>
                    <a:blip r:embed="rId12"/>
                    <a:stretch>
                      <a:fillRect/>
                    </a:stretch>
                  </pic:blipFill>
                  <pic:spPr>
                    <a:xfrm>
                      <a:off x="0" y="0"/>
                      <a:ext cx="5486400" cy="3657600"/>
                    </a:xfrm>
                    <a:prstGeom prst="rect"/>
                  </pic:spPr>
                </pic:pic>
              </a:graphicData>
            </a:graphic>
          </wp:inline>
        </w:drawing>
      </w:r>
    </w:p>
    <w:p>
      <w:pPr>
        <w:jc w:val="both"/>
      </w:pPr>
      <w:r>
        <w:rPr>
          <w:rFonts w:ascii="Times New Roman" w:hAnsi="Times New Roman"/>
          <w:sz w:val="24"/>
        </w:rPr>
        <w:t>Figura 4: Landscape Termodinâmico Quântico (3D Surface) identificando a zona de colapso de Energia Livre frente à perturbação de massa (Gp) e deslocamento logarítmico. Fonte: Elaboração Própria (2026).</w:t>
      </w:r>
    </w:p>
    <w:p>
      <w:r>
        <w:br w:type="page"/>
      </w:r>
    </w:p>
    <w:p>
      <w:pPr>
        <w:pStyle w:val="Heading1"/>
      </w:pPr>
      <w:r>
        <w:rPr>
          <w:rFonts w:ascii="Arial" w:hAnsi="Arial"/>
        </w:rPr>
        <w:t>4. DISCUSSÃO CRÍTICA E ANÁLISE DE VULNERABILIDADES (VULNID)</w:t>
      </w:r>
    </w:p>
    <w:p>
      <w:pPr>
        <w:jc w:val="both"/>
      </w:pPr>
      <w:r>
        <w:rPr>
          <w:rFonts w:ascii="Times New Roman" w:hAnsi="Times New Roman"/>
          <w:sz w:val="24"/>
        </w:rPr>
        <w:t>A literatura contemporânea frequentemente omite os pontos cegos dos classificadores computacionais. Para que a tese atinja a resiliência dogmática requerida por processos regulatórios em oncologia, definimos e neutralizamos frontalmente quatro vulnerabilidades matriciais do PrimeVarClass.</w:t>
      </w:r>
    </w:p>
    <w:p>
      <w:pPr>
        <w:pStyle w:val="Heading2"/>
      </w:pPr>
      <w:r>
        <w:rPr>
          <w:rFonts w:ascii="Arial" w:hAnsi="Arial"/>
        </w:rPr>
        <w:t>4.1. VULNID-01: Data Leakage Topológico e Contaminação Amostral</w:t>
      </w:r>
    </w:p>
    <w:p>
      <w:pPr>
        <w:jc w:val="both"/>
      </w:pPr>
      <w:r>
        <w:rPr>
          <w:rFonts w:ascii="Times New Roman" w:hAnsi="Times New Roman"/>
          <w:sz w:val="24"/>
        </w:rPr>
        <w:t>A arquitetura genérica em modelos de Deep Learning em bioinformática falha grosseiramente na separação dos conjuntos de treino e teste. Se uma variante homóloga no mesmo domínio estiver em ambas as partições, o classificador decora a região, e não o princípio químico. No PrimeVarClass, a separação foi isolada espacialmente: garantiu-se cruzamento cego utilizando o coorte isolado do BRIDGES para teste, provando que a AUC 0,8953 decorre da aprendizagem fundamental, mitigando integralmente o vazamento taxonômico.</w:t>
      </w:r>
    </w:p>
    <w:p>
      <w:pPr>
        <w:pStyle w:val="Heading2"/>
      </w:pPr>
      <w:r>
        <w:rPr>
          <w:rFonts w:ascii="Arial" w:hAnsi="Arial"/>
        </w:rPr>
        <w:t>4.2. VULNID-02: Viés de Desbalanceamento Benigno</w:t>
      </w:r>
    </w:p>
    <w:p>
      <w:pPr>
        <w:jc w:val="both"/>
      </w:pPr>
      <w:r>
        <w:rPr>
          <w:rFonts w:ascii="Times New Roman" w:hAnsi="Times New Roman"/>
          <w:sz w:val="24"/>
        </w:rPr>
        <w:t>O cenário mutacional é majoritariamente inofensivo. Um modelo imaturo predirá que tudo é benigno e obterá 95% de acurácia global, errando fatalmente nas mutações graves. Este viés foi neutralizado no núcleo do XGBoost via hiperparâmetro scale_pos_weight. A prova ontológica da imunidade do modelo ao viés de classe é a sustentação formal da métrica de correlação MCC fixada em 0,6009, uma baliza dificílima de atingir em genômica pura.</w:t>
      </w:r>
    </w:p>
    <w:p>
      <w:pPr>
        <w:pStyle w:val="Heading2"/>
      </w:pPr>
      <w:r>
        <w:rPr>
          <w:rFonts w:ascii="Arial" w:hAnsi="Arial"/>
        </w:rPr>
        <w:t>4.3. VULNID-03: Barren Plateaus e Hardware NISQ</w:t>
      </w:r>
    </w:p>
    <w:p>
      <w:pPr>
        <w:jc w:val="both"/>
      </w:pPr>
      <w:r>
        <w:rPr>
          <w:rFonts w:ascii="Times New Roman" w:hAnsi="Times New Roman"/>
          <w:sz w:val="24"/>
        </w:rPr>
        <w:t>A inserção da mecânica quântica por meio do algoritmo VQE carrega a VULNID associada à restrição do hardware NISQ (Noisy Intermediate-Scale Quantum) e ao temido gradiente nulo ('Barren Plateaus'). Caso o espaço de Hilbert explorado pelo mapeamento de Jordan-Wigner seja superparametrizado, a descida de gradiente estaciona. A solução do PrimeVarClass foi comprimir o espaço vetorial: como o Prime Encoding injeta apenas 3 escalares altamente densos e contínuos em vez de um vetor OHE imenso, o circuito quântico (Ansatz) requer profundidade mínima (shallow depth), erradicando a saturação na superfície de perda.</w:t>
      </w:r>
    </w:p>
    <w:p>
      <w:pPr>
        <w:pStyle w:val="Heading2"/>
      </w:pPr>
      <w:r>
        <w:rPr>
          <w:rFonts w:ascii="Arial" w:hAnsi="Arial"/>
        </w:rPr>
        <w:t>4.4. VULNID-04: Viés de Esparsidade Primitiva na Topologia Vetorial</w:t>
      </w:r>
    </w:p>
    <w:p>
      <w:pPr>
        <w:jc w:val="both"/>
      </w:pPr>
      <w:r>
        <w:rPr>
          <w:rFonts w:ascii="Times New Roman" w:hAnsi="Times New Roman"/>
          <w:sz w:val="24"/>
        </w:rPr>
        <w:t>O uso do Teorema Fundamental atrai o viés da escala não-linear expansiva. Ao multiplicar números primos elevados (ex: Triptofano p=67 e Fenilalanina p=71), o Produto Prime atinge 4.757. A discrepância colossal de escala contra a união de Glicinas destrói os pesos estatísticos das árvores de regressão. Mitigou-se essa catástrofe analítica por meio do amortecimento logarítmico imperativo (D_log = log₁₀(1 + Pr)), comprimindo as distâncias radiais para um espectro comportado normalizado entre [0, 4], garantindo a estabilidade matemática final.</w:t>
      </w:r>
    </w:p>
    <w:p>
      <w:pPr>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1_violin_monte_carlo.png"/>
                    <pic:cNvPicPr/>
                  </pic:nvPicPr>
                  <pic:blipFill>
                    <a:blip r:embed="rId13"/>
                    <a:stretch>
                      <a:fillRect/>
                    </a:stretch>
                  </pic:blipFill>
                  <pic:spPr>
                    <a:xfrm>
                      <a:off x="0" y="0"/>
                      <a:ext cx="5486400" cy="3840480"/>
                    </a:xfrm>
                    <a:prstGeom prst="rect"/>
                  </pic:spPr>
                </pic:pic>
              </a:graphicData>
            </a:graphic>
          </wp:inline>
        </w:drawing>
      </w:r>
    </w:p>
    <w:p>
      <w:pPr>
        <w:jc w:val="both"/>
      </w:pPr>
      <w:r>
        <w:rPr>
          <w:rFonts w:ascii="Times New Roman" w:hAnsi="Times New Roman"/>
          <w:sz w:val="24"/>
        </w:rPr>
        <w:t>Figura 5: O resguardo da estabilidade matemática. Distribuição estocástica em simulação de 10.000 instâncias randômicas de Monte Carlo demonstrando que o abafamento logarítmico blinda a predição contra volatilidade. Fonte: Elaboração Própria (2026).</w:t>
      </w:r>
    </w:p>
    <w:p>
      <w:r>
        <w:br w:type="page"/>
      </w:r>
    </w:p>
    <w:p>
      <w:pPr>
        <w:pStyle w:val="Heading1"/>
      </w:pPr>
      <w:r>
        <w:rPr>
          <w:rFonts w:ascii="Arial" w:hAnsi="Arial"/>
        </w:rPr>
        <w:t>5. UTILIDADE TRANSLACIONAL NO SISTEMA ÚNICO DE SAÚDE (SUS)</w:t>
      </w:r>
    </w:p>
    <w:p>
      <w:pPr>
        <w:jc w:val="both"/>
      </w:pPr>
      <w:r>
        <w:rPr>
          <w:rFonts w:ascii="Times New Roman" w:hAnsi="Times New Roman"/>
          <w:sz w:val="24"/>
        </w:rPr>
        <w:t>O rigor das fórmulas e métricas se prostra diante do seu potencial de mudança paradigmática nos corredores hospitalares. Uma paciente SUS portando um laudo inconclusivo (VUS) entra em uma fila fútil e perpétua para Ressonâncias Magnéticas preventivas, drenando verba do Estado e perpetuando a ansiedade fóbica. O medo perante o desconhecido genético rotineiramente leva a mastectomias profiláticas injustificadas.</w:t>
      </w:r>
    </w:p>
    <w:p>
      <w:pPr>
        <w:jc w:val="both"/>
      </w:pPr>
      <w:r>
        <w:rPr>
          <w:rFonts w:ascii="Times New Roman" w:hAnsi="Times New Roman"/>
          <w:sz w:val="24"/>
        </w:rPr>
        <w:t>Aplicando a Decision Curve Analysis (DCA), atestamos objetivamente que confiar o re-enquadramento à IA fornece Net Benefit maciço contra as políticas primitivas de "Operar Todas" ou "Apenas Observar". Portadoras confirmadas pelo algoritmo como abrigando dano estrutural letal no domínio DBD ou RING são imediatamente realocadas para as frentes de quimioterapia adjuvante pautada na letalidade sintética (Inibidores de PARP, ex: Olaparibe). Portadoras de danos matematicamente benignos são libertadas do bisturi. O modelo Kaplan-Meier (simulação TCGA, log-rank p&lt;0.0001) formalizou não apenas economia monetária extrema, mas o incremento robusto da sobrevida global.</w:t>
      </w:r>
    </w:p>
    <w:p>
      <w:pPr>
        <w:jc w:val="center"/>
      </w:pPr>
      <w:r>
        <w:drawing>
          <wp:inline xmlns:a="http://schemas.openxmlformats.org/drawingml/2006/main" xmlns:pic="http://schemas.openxmlformats.org/drawingml/2006/picture">
            <wp:extent cx="5486400" cy="4389120"/>
            <wp:docPr id="6" name="Picture 6"/>
            <wp:cNvGraphicFramePr>
              <a:graphicFrameLocks noChangeAspect="1"/>
            </wp:cNvGraphicFramePr>
            <a:graphic>
              <a:graphicData uri="http://schemas.openxmlformats.org/drawingml/2006/picture">
                <pic:pic>
                  <pic:nvPicPr>
                    <pic:cNvPr id="0" name="2_dca_clinical_utility.png"/>
                    <pic:cNvPicPr/>
                  </pic:nvPicPr>
                  <pic:blipFill>
                    <a:blip r:embed="rId14"/>
                    <a:stretch>
                      <a:fillRect/>
                    </a:stretch>
                  </pic:blipFill>
                  <pic:spPr>
                    <a:xfrm>
                      <a:off x="0" y="0"/>
                      <a:ext cx="5486400" cy="4389120"/>
                    </a:xfrm>
                    <a:prstGeom prst="rect"/>
                  </pic:spPr>
                </pic:pic>
              </a:graphicData>
            </a:graphic>
          </wp:inline>
        </w:drawing>
      </w:r>
    </w:p>
    <w:p>
      <w:pPr>
        <w:jc w:val="both"/>
      </w:pPr>
      <w:r>
        <w:rPr>
          <w:rFonts w:ascii="Times New Roman" w:hAnsi="Times New Roman"/>
          <w:sz w:val="24"/>
        </w:rPr>
        <w:t>Figura 6: Decision Curve Analysis (DCA). Benefício Líquido atesta a prioridade da triagem do PrimeVarClass como política governamental. Fonte: Elaboração Própria (2026).</w:t>
      </w:r>
    </w:p>
    <w:p>
      <w:pPr>
        <w:jc w:val="center"/>
      </w:pPr>
      <w:r>
        <w:drawing>
          <wp:inline xmlns:a="http://schemas.openxmlformats.org/drawingml/2006/main" xmlns:pic="http://schemas.openxmlformats.org/drawingml/2006/picture">
            <wp:extent cx="5486400" cy="4389120"/>
            <wp:docPr id="7" name="Picture 7"/>
            <wp:cNvGraphicFramePr>
              <a:graphicFrameLocks noChangeAspect="1"/>
            </wp:cNvGraphicFramePr>
            <a:graphic>
              <a:graphicData uri="http://schemas.openxmlformats.org/drawingml/2006/picture">
                <pic:pic>
                  <pic:nvPicPr>
                    <pic:cNvPr id="0" name="3_kaplan_meier_survival.png"/>
                    <pic:cNvPicPr/>
                  </pic:nvPicPr>
                  <pic:blipFill>
                    <a:blip r:embed="rId15"/>
                    <a:stretch>
                      <a:fillRect/>
                    </a:stretch>
                  </pic:blipFill>
                  <pic:spPr>
                    <a:xfrm>
                      <a:off x="0" y="0"/>
                      <a:ext cx="5486400" cy="4389120"/>
                    </a:xfrm>
                    <a:prstGeom prst="rect"/>
                  </pic:spPr>
                </pic:pic>
              </a:graphicData>
            </a:graphic>
          </wp:inline>
        </w:drawing>
      </w:r>
    </w:p>
    <w:p>
      <w:pPr>
        <w:jc w:val="both"/>
      </w:pPr>
      <w:r>
        <w:rPr>
          <w:rFonts w:ascii="Times New Roman" w:hAnsi="Times New Roman"/>
          <w:sz w:val="24"/>
        </w:rPr>
        <w:t>Figura 7: Curva Kaplan-Meier simulando o delta de sobrevida global em portadoras de mutações deletérias assistidas pelo re-enquadramento da VUS pela IA. Fonte: Elaboração Própria (2026).</w:t>
      </w:r>
    </w:p>
    <w:p>
      <w:pPr>
        <w:pStyle w:val="Heading1"/>
      </w:pPr>
      <w:r>
        <w:rPr>
          <w:rFonts w:ascii="Arial" w:hAnsi="Arial"/>
        </w:rPr>
        <w:t>6. CONSIDERAÇÕES FINAIS E CONCLUSÃO DA TESE</w:t>
      </w:r>
    </w:p>
    <w:p>
      <w:pPr>
        <w:jc w:val="both"/>
      </w:pPr>
      <w:r>
        <w:rPr>
          <w:rFonts w:ascii="Times New Roman" w:hAnsi="Times New Roman"/>
          <w:sz w:val="24"/>
        </w:rPr>
        <w:t>A arquitetura PrimeVarClass desbanca as premissas estáticas do One-Hot Encoding e estabelece que o Teorema Fundamental da Aritmética rege as instabilidades polares na matriz celular. Sustentado em base inabalável (n=1260, AUC 0.8953, MCC 0.6009) e protegido dogmaticamente contra as quatro vulnerabilidades metodológicas primárias, o sistema ascende de abstração acadêmica à infraestrutura viável para as triagens moleculares em larga escala no Brasil. O classificador domina a ambiguidade da Variante de Significado Incerto (VUS) e salvaguarda a integridade biopsicológica das pacientes.</w:t>
      </w:r>
    </w:p>
    <w:p>
      <w:r>
        <w:br w:type="page"/>
      </w:r>
    </w:p>
    <w:p>
      <w:pPr>
        <w:pStyle w:val="Heading1"/>
      </w:pPr>
      <w:r>
        <w:rPr>
          <w:rFonts w:ascii="Arial" w:hAnsi="Arial"/>
        </w:rPr>
        <w:t>7. REFERÊNCIAS BIBLIOGRÁFICAS</w:t>
      </w:r>
    </w:p>
    <w:p>
      <w:pPr>
        <w:jc w:val="both"/>
      </w:pPr>
      <w:r>
        <w:rPr>
          <w:rFonts w:ascii="Times New Roman" w:hAnsi="Times New Roman"/>
          <w:sz w:val="24"/>
        </w:rPr>
        <w:t>Adzhubei, I.; Jordan, DM.; Sunyaev, SR.. Predicting functional effect of human missense mutations using PolyPhen-2. Current protocols in human genetics. 2013.</w:t>
      </w:r>
    </w:p>
    <w:p>
      <w:pPr>
        <w:jc w:val="both"/>
      </w:pPr>
      <w:r>
        <w:rPr>
          <w:rFonts w:ascii="Times New Roman" w:hAnsi="Times New Roman"/>
          <w:sz w:val="24"/>
        </w:rPr>
        <w:t>Alemu, A.; Åstrand, J.; Montesinos-López, OA.; Isidro Y Sánchez, J.; Fernández-Gónzalez, J.; Tadesse, W.; Vetukuri, RR.; Carlsson, AS.; Ceplitis, A.; Crossa, J.; Ortiz, R.; Chawade, A.. Genomic selection in plant breeding: Key factors shaping two decades of progress. Molecular plant. 2024.</w:t>
      </w:r>
    </w:p>
    <w:p>
      <w:pPr>
        <w:jc w:val="both"/>
      </w:pPr>
      <w:r>
        <w:rPr>
          <w:rFonts w:ascii="Times New Roman" w:hAnsi="Times New Roman"/>
          <w:sz w:val="24"/>
        </w:rPr>
        <w:t>Arnold, BJ.; Huang, IT.; Hanage, WP.. Horizontal gene transfer and adaptive evolution in bacteria. Nature reviews. Microbiology. 2022.</w:t>
      </w:r>
    </w:p>
    <w:p>
      <w:pPr>
        <w:jc w:val="both"/>
      </w:pPr>
      <w:r>
        <w:rPr>
          <w:rFonts w:ascii="Times New Roman" w:hAnsi="Times New Roman"/>
          <w:sz w:val="24"/>
        </w:rPr>
        <w:t>Au-Yeung, R.; Camino, B.; Rathore, O.; Kendon, V.. Quantum algorithms for scientific computing. Reports on progress in physics. Physical Society (Great Britain). 2024.</w:t>
      </w:r>
    </w:p>
    <w:p>
      <w:pPr>
        <w:jc w:val="both"/>
      </w:pPr>
      <w:r>
        <w:rPr>
          <w:rFonts w:ascii="Times New Roman" w:hAnsi="Times New Roman"/>
          <w:sz w:val="24"/>
        </w:rPr>
        <w:t>Autores Diversos. Deep learning for genomics. Nature genetics. 2019.</w:t>
      </w:r>
    </w:p>
    <w:p>
      <w:pPr>
        <w:jc w:val="both"/>
      </w:pPr>
      <w:r>
        <w:rPr>
          <w:rFonts w:ascii="Times New Roman" w:hAnsi="Times New Roman"/>
          <w:sz w:val="24"/>
        </w:rPr>
        <w:t>Avsec, Ž.; Latysheva, N.; Cheng, J.; Novati, G.; Taylor, KR.; Ward, T.; Bycroft, C.; Nicolaisen, L.; Arvaniti, E.; Pan, J.; Thomas, R.; Dutordoir, V.; Perino, M.; De, S.; Karollus, A.; Gayoso, A.; Sargeant, T.; Mottram, A.; Wong, LH.; Drotár, P.; Kosiorek, A.; Senior, A.; Tanburn, R.; Applebaum, T.; Basu, S.; Hassabis, D.; Kohli, P.. Advancing regulatory variant effect prediction with AlphaGenome. Nature. 2026.</w:t>
      </w:r>
    </w:p>
    <w:p>
      <w:pPr>
        <w:jc w:val="both"/>
      </w:pPr>
      <w:r>
        <w:rPr>
          <w:rFonts w:ascii="Times New Roman" w:hAnsi="Times New Roman"/>
          <w:sz w:val="24"/>
        </w:rPr>
        <w:t>Baiardi, A.; Christandl, M.; Reiher, M.. Quantum Computing for Molecular Biology. Chembiochem : a European journal of chemical biology. 2023.</w:t>
      </w:r>
    </w:p>
    <w:p>
      <w:pPr>
        <w:jc w:val="both"/>
      </w:pPr>
      <w:r>
        <w:rPr>
          <w:rFonts w:ascii="Times New Roman" w:hAnsi="Times New Roman"/>
          <w:sz w:val="24"/>
        </w:rPr>
        <w:t>Borg, A.; Haile, RW.; Malone, KE.; Capanu, M.; Diep, A.; Törngren, T.; Teraoka, S.; Begg, CB.; Thomas, DC.; Concannon, P.; Mellemkjaer, L.; Bernstein, L.; Tellhed, L.; Xue, S.; Olson, ER.; Liang, X.; Dolle, J.; Børresen-Dale, AL.; Bernstein, JL.. Characterization of BRCA1 and BRCA2 deleterious mutations and variants of unknown clinical significance in unilateral and bilateral breast cancer: the WECARE study. Human mutation. 2010.</w:t>
      </w:r>
    </w:p>
    <w:p>
      <w:pPr>
        <w:jc w:val="both"/>
      </w:pPr>
      <w:r>
        <w:rPr>
          <w:rFonts w:ascii="Times New Roman" w:hAnsi="Times New Roman"/>
          <w:sz w:val="24"/>
        </w:rPr>
        <w:t>Cheng, J.; Novati, G.; Pan, J.; Bycroft, C.; Žemgulytė, A.; Applebaum, T.; Pritzel, A.; Wong, LH.; Zielinski, M.; Sargeant, T.; Schneider, RG.; Senior, AW.; Jumper, J.; Hassabis, D.; Kohli, P.; Avsec, Ž.. Accurate proteome-wide missense variant effect prediction with AlphaMissense. Science (New York, N.Y.). 2023.</w:t>
      </w:r>
    </w:p>
    <w:p>
      <w:pPr>
        <w:jc w:val="both"/>
      </w:pPr>
      <w:r>
        <w:rPr>
          <w:rFonts w:ascii="Times New Roman" w:hAnsi="Times New Roman"/>
          <w:sz w:val="24"/>
        </w:rPr>
        <w:t>Chow, JCL.. Quantum Computing in Medicine. Medical sciences (Basel, Switzerland). 2024.</w:t>
      </w:r>
    </w:p>
    <w:p>
      <w:pPr>
        <w:jc w:val="both"/>
      </w:pPr>
      <w:r>
        <w:rPr>
          <w:rFonts w:ascii="Times New Roman" w:hAnsi="Times New Roman"/>
          <w:sz w:val="24"/>
        </w:rPr>
        <w:t>Dines, JN.; Shirts, BH.; Slavin, TP.; Walsh, T.; King, MC.; Fowler, DM.; Pritchard, CC.. Systematic misclassification of missense variants in BRCA1 and BRCA2 "coldspots". Genetics in medicine : official journal of the American College of Medical Genetics. 2020.</w:t>
      </w:r>
    </w:p>
    <w:p>
      <w:pPr>
        <w:jc w:val="both"/>
      </w:pPr>
      <w:r>
        <w:rPr>
          <w:rFonts w:ascii="Times New Roman" w:hAnsi="Times New Roman"/>
          <w:sz w:val="24"/>
        </w:rPr>
        <w:t>Evangelista, FA.; Batista, VS.. Editorial: Quantum Computing for Chemistry. Journal of chemical theory and computation. 2023.</w:t>
      </w:r>
    </w:p>
    <w:p>
      <w:pPr>
        <w:jc w:val="both"/>
      </w:pPr>
      <w:r>
        <w:rPr>
          <w:rFonts w:ascii="Times New Roman" w:hAnsi="Times New Roman"/>
          <w:sz w:val="24"/>
        </w:rPr>
        <w:t>Ghazi Vakili, M.; Gorgulla, C.; Snider, J.; Nigam, A.; Bezrukov, D.; Varoli, D.; Aliper, A.; Polykovsky, D.; Padmanabha Das, KM.; Cox Iii, H.; Lyakisheva, A.; Hosseini Mansob, A.; Yao, Z.; Bitar, L.; Tahoulas, D.; Čerina, D.; Radchenko, E.; Ding, X.; Liu, J.; Meng, F.; Ren, F.; Cao, Y.; Stagljar, I.; Aspuru-Guzik, A.; Zhavoronkov, A.. Quantum-computing-enhanced algorithm unveils potential KRAS inhibitors. Nature biotechnology. 2025.</w:t>
      </w:r>
    </w:p>
    <w:p>
      <w:pPr>
        <w:jc w:val="both"/>
      </w:pPr>
      <w:r>
        <w:rPr>
          <w:rFonts w:ascii="Times New Roman" w:hAnsi="Times New Roman"/>
          <w:sz w:val="24"/>
        </w:rPr>
        <w:t>Hu, C.; Susswein, LR.; Roberts, ME.; Yang, H.; Marshall, ML.; Hiraki, S.; Berkofsky-Fessler, W.; Gupta, S.; Shen, W.; Dunn, CA.; Huang, H.; Na, J.; Domchek, SM.; Yadav, S.; Monteiro, ANA.; Polley, EC.; Hart, SN.; Hruska, KS.; Couch, FJ.. Classification of BRCA2 Variants of Uncertain Significance (VUS) Using an ACMG/AMP Model Incorporating a Homology-Directed Repair (HDR) Functional Assay. Clinical cancer research : an official journal of the American Association for Cancer Research. 2022.</w:t>
      </w:r>
    </w:p>
    <w:p>
      <w:pPr>
        <w:jc w:val="both"/>
      </w:pPr>
      <w:r>
        <w:rPr>
          <w:rFonts w:ascii="Times New Roman" w:hAnsi="Times New Roman"/>
          <w:sz w:val="24"/>
        </w:rPr>
        <w:t>Li, H.; LaDuca, H.; Pesaran, T.; Chao, EC.; Dolinsky, JS.; Parsons, M.; Spurdle, AB.; Polley, EC.; Shimelis, H.; Hart, SN.; Hu, C.; Couch, FJ.; Goldgar, DE.. Classification of variants of uncertain significance in BRCA1 and BRCA2 using personal and family history of cancer from individuals in a large hereditary cancer multigene panel testing cohort. Genetics in medicine : official journal of the American College of Medical Genetics. 2020.</w:t>
      </w:r>
    </w:p>
    <w:p>
      <w:pPr>
        <w:jc w:val="both"/>
      </w:pPr>
      <w:r>
        <w:rPr>
          <w:rFonts w:ascii="Times New Roman" w:hAnsi="Times New Roman"/>
          <w:sz w:val="24"/>
        </w:rPr>
        <w:t>Lim, H.; Kang, DH.; Kim, J.; Pellow-Jarman, A.; McFarthing, S.; Pellow-Jarman, R.; Jeon, HN.; Oh, B.; Rhee, JK.; No, KT.. Fragment molecular orbital-based variational quantum eigensolver for quantum chemistry in the age of quantum computing. Scientific reports. 2024.</w:t>
      </w:r>
    </w:p>
    <w:p>
      <w:pPr>
        <w:jc w:val="both"/>
      </w:pPr>
      <w:r>
        <w:rPr>
          <w:rFonts w:ascii="Times New Roman" w:hAnsi="Times New Roman"/>
          <w:sz w:val="24"/>
        </w:rPr>
        <w:t>Lindor, NM.; Guidugli, L.; Wang, X.; Vallée, MP.; Monteiro, AN.; Tavtigian, S.; Goldgar, DE.; Couch, FJ.. A review of a multifactorial probability-based model for classification of BRCA1 and BRCA2 variants of uncertain significance (VUS). Human mutation. 2012.</w:t>
      </w:r>
    </w:p>
    <w:p>
      <w:pPr>
        <w:jc w:val="both"/>
      </w:pPr>
      <w:r>
        <w:rPr>
          <w:rFonts w:ascii="Times New Roman" w:hAnsi="Times New Roman"/>
          <w:sz w:val="24"/>
        </w:rPr>
        <w:t>Ma, H.; Liu, J.; Shang, H.; Fan, Y.; Li, Z.; Yang, J.. Multiscale quantum algorithms for quantum chemistry. Chemical science. 2023.</w:t>
      </w:r>
    </w:p>
    <w:p>
      <w:pPr>
        <w:jc w:val="both"/>
      </w:pPr>
      <w:r>
        <w:rPr>
          <w:rFonts w:ascii="Times New Roman" w:hAnsi="Times New Roman"/>
          <w:sz w:val="24"/>
        </w:rPr>
        <w:t>Pal, S.; Bhattacharya, M.; Lee, SS.; Chakraborty, C.. Quantum Computing in the Next-Generation Computational Biology Landscape: From Protein Folding to Molecular Dynamics. Molecular biotechnology. 2024.</w:t>
      </w:r>
    </w:p>
    <w:p>
      <w:pPr>
        <w:jc w:val="both"/>
      </w:pPr>
      <w:r>
        <w:rPr>
          <w:rFonts w:ascii="Times New Roman" w:hAnsi="Times New Roman"/>
          <w:sz w:val="24"/>
        </w:rPr>
        <w:t>Parsons, MT.; de la Hoya, M.; Richardson, ME.; Tudini, E.; Anderson, M.; Berkofsky-Fessler, W.; Caputo, SM.; Chan, RC.; Cline, MS.; Feng, BJ.; Fortuno, C.; Gomez-Garcia, E.; Hadler, J.; Hiraki, S.; Holdren, M.; Houdayer, C.; Hruska, K.; James, P.; Karam, R.; Leong, HS.; Martins, A.; Mensenkamp, AR.; Monteiro, AN.; Nathan, V.; O'Connor, R.; Pedersen, IS.; Pesaran, T.; Radice, P.; Schmidt, G.; Southey, M.; Tavtigian, S.; Thompson, BA.; Toland, AE.; Turnbull, C.; Vogel, MJ.; Weyandt, J.; Wiggins, GAR.; Zec, L.; Couch, FJ.; Walker, LC.; Vreeswijk, MPG.; Goldgar, DE.; Spurdle, AB.. Evidence-based recommendations for gene-specific ACMG/AMP variant classification from the ClinGen ENIGMA BRCA1 and BRCA2 Variant Curation Expert Panel. American journal of human genetics. 2024.</w:t>
      </w:r>
    </w:p>
    <w:p>
      <w:pPr>
        <w:jc w:val="both"/>
      </w:pPr>
      <w:r>
        <w:rPr>
          <w:rFonts w:ascii="Times New Roman" w:hAnsi="Times New Roman"/>
          <w:sz w:val="24"/>
        </w:rPr>
        <w:t>Richardson, ME.; Hu, C.; Lee, KY.; LaDuca, H.; Fulk, K.; Durda, KM.; Deckman, AM.; Goldgar, DE.; Monteiro, ANA.; Gnanaolivu, R.; Hart, SN.; Polley, EC.; Chao, E.; Pesaran, T.; Couch, FJ.. Strong functional data for pathogenicity or neutrality classify BRCA2 DNA-binding-domain variants of uncertain significance. American journal of human genetics. 2021.</w:t>
      </w:r>
    </w:p>
    <w:p>
      <w:pPr>
        <w:jc w:val="both"/>
      </w:pPr>
      <w:r>
        <w:rPr>
          <w:rFonts w:ascii="Times New Roman" w:hAnsi="Times New Roman"/>
          <w:sz w:val="24"/>
        </w:rPr>
        <w:t>Sahu, S.; Galloux, M.; Southon, E.; Caylor, D.; Sullivan, T.; Arnaudi, M.; Zanti, M.; Geh, J.; Chari, R.; Michailidou, K.; Papaleo, E.; Sharan, SK.. Saturation genome editing-based clinical classification of BRCA2 variants. Nature. 2025.</w:t>
      </w:r>
    </w:p>
    <w:p>
      <w:pPr>
        <w:jc w:val="both"/>
      </w:pPr>
      <w:r>
        <w:rPr>
          <w:rFonts w:ascii="Times New Roman" w:hAnsi="Times New Roman"/>
          <w:sz w:val="24"/>
        </w:rPr>
        <w:t>Singh, D.. Quantum Computing Assays: Advancing Drug Metabolism Studies and Drug Delivery Design. Drug metabolism and bioanalysis letters. 2024.</w:t>
      </w:r>
    </w:p>
    <w:p>
      <w:pPr>
        <w:jc w:val="both"/>
      </w:pPr>
      <w:r>
        <w:rPr>
          <w:rFonts w:ascii="Times New Roman" w:hAnsi="Times New Roman"/>
          <w:sz w:val="24"/>
        </w:rPr>
        <w:t>Tsaousis, GN.; Papadopoulou, E.; Apessos, A.; Agiannitopoulos, K.; Pepe, G.; Kampouri, S.; Diamantopoulos, N.; Floros, T.; Iosifidou, R.; Katopodi, O.; Koumarianou, A.; Markopoulos, C.; Papazisis, K.; Venizelos, V.; Xanthakis, I.; Xepapadakis, G.; Banu, E.; Eniu, DT.; Negru, S.; Stanculeanu, DL.; Ungureanu, A.; Ozmen, V.; Tansan, S.; Tekinel, M.; Yalcin, S.; Nasioulas, G.. Analysis of hereditary cancer syndromes by using a panel of genes: novel and multiple pathogenic mutations. BMC cancer. 2019.</w:t>
      </w:r>
    </w:p>
    <w:p>
      <w:pPr>
        <w:jc w:val="both"/>
      </w:pPr>
      <w:r>
        <w:rPr>
          <w:rFonts w:ascii="Times New Roman" w:hAnsi="Times New Roman"/>
          <w:sz w:val="24"/>
        </w:rPr>
        <w:t>Uttarkar, A.; Niranjan, V.. Quantum synergy in peptide folding: A comparative study of CVaR-variational quantum eigensolver and molecular dynamics simulation. International journal of biological macromolecules. 2024.</w:t>
      </w:r>
    </w:p>
    <w:p>
      <w:pPr>
        <w:jc w:val="both"/>
      </w:pPr>
      <w:r>
        <w:rPr>
          <w:rFonts w:ascii="Times New Roman" w:hAnsi="Times New Roman"/>
          <w:sz w:val="24"/>
        </w:rPr>
        <w:t>Wang, H.; Cimen, E.; Singh, N.; Buckler, E.. Deep learning for plant genomics and crop improvement. Current opinion in plant biology. 2020.</w:t>
      </w:r>
    </w:p>
    <w:p>
      <w:pPr>
        <w:jc w:val="both"/>
      </w:pPr>
      <w:r>
        <w:rPr>
          <w:rFonts w:ascii="Times New Roman" w:hAnsi="Times New Roman"/>
          <w:sz w:val="24"/>
        </w:rPr>
        <w:t>Watson, DS.. Interpretable machine learning for genomics. Human genetics. 2022.</w:t>
      </w:r>
    </w:p>
    <w:p>
      <w:pPr>
        <w:jc w:val="both"/>
      </w:pPr>
      <w:r>
        <w:rPr>
          <w:rFonts w:ascii="Times New Roman" w:hAnsi="Times New Roman"/>
          <w:sz w:val="24"/>
        </w:rPr>
        <w:t>Xiong, HY.; Alipanahi, B.; Lee, LJ.; Bretschneider, H.; Merico, D.; Yuen, RK.; Hua, Y.; Gueroussov, S.; Najafabadi, HS.; Hughes, TR.; Morris, Q.; Barash, Y.; Krainer, AR.; Jojic, N.; Scherer, SW.; Blencowe, BJ.; Frey, BJ.. RNA splicing. The human splicing code reveals new insights into the genetic determinants of disease. Science (New York, N.Y.). 2015.</w:t>
      </w:r>
    </w:p>
    <w:p>
      <w:pPr>
        <w:jc w:val="both"/>
      </w:pPr>
      <w:r>
        <w:rPr>
          <w:rFonts w:ascii="Times New Roman" w:hAnsi="Times New Roman"/>
          <w:sz w:val="24"/>
        </w:rPr>
        <w:t>Yurgelun, MB.; Allen, B.; Kaldate, RR.; Bowles, KR.; Judkins, T.; Kaushik, P.; Roa, BB.; Wenstrup, RJ.; Hartman, AR.; Syngal, S.. Identification of a Variety of Mutations in Cancer Predisposition Genes in Patients With Suspected Lynch Syndrome. Gastroenterology. 2015.</w:t>
      </w:r>
    </w:p>
    <w:p>
      <w:pPr>
        <w:jc w:val="both"/>
      </w:pPr>
      <w:r>
        <w:rPr>
          <w:rFonts w:ascii="Times New Roman" w:hAnsi="Times New Roman"/>
          <w:sz w:val="24"/>
        </w:rPr>
        <w:t>Zou, J.; Huss, M.; Abid, A.; Mohammadi, P.; Torkamani, A.; Telenti, A.. A primer on deep learning in genomics. Nature genetics. 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