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PRIMEVARCLASS: ABLAÇÃO DE DIMENSIONALIDADE ATRAVÉS DO TEOREMA FUNDAMENTAL DA ARITMÉTICA APLICADA À MITIGAÇÃO DA IATROGENIA CLÍNICA NAS SÍNDROMES DE CÂNCER DE MAMA E OVÁRIO HEREDITÁRIO</w:t>
      </w:r>
    </w:p>
    <w:p>
      <w:pPr>
        <w:pStyle w:val="Heading1"/>
      </w:pPr>
      <w:r>
        <w:rPr>
          <w:rFonts w:ascii="Arial" w:hAnsi="Arial"/>
        </w:rPr>
        <w:t>1. APRESENTAÇÃO</w:t>
      </w:r>
    </w:p>
    <w:p>
      <w:pPr>
        <w:pStyle w:val="Heading2"/>
      </w:pPr>
      <w:r>
        <w:rPr>
          <w:rFonts w:ascii="Arial" w:hAnsi="Arial"/>
        </w:rPr>
        <w:t>1.1. Resumo</w:t>
      </w:r>
    </w:p>
    <w:p>
      <w:pPr>
        <w:jc w:val="both"/>
      </w:pPr>
      <w:r>
        <w:rPr>
          <w:rFonts w:ascii="Times New Roman" w:hAnsi="Times New Roman"/>
          <w:sz w:val="24"/>
        </w:rPr>
        <w:t>A predisposição hereditária ao câncer de mama e ovário é primariamente conduzida por variantes patogênicas em genes de alta penetrância, como BRCA1 e BRCA2. Com a massificação do sequenciamento de nova geração (NGS), identificou-se um gargalo sistêmico global na genômica clínica: a escalada exponencial e descontrolada de Variantes de Significado Incerto (VUS). A ambiguidade diagnóstica inerente a esse status conduz a consequências iatrogênicas pesadamente documentadas, oscilando drasticamente desde o subtratamento com óbito precoce até a execução sistemática de mastectomias profiláticas bilaterais e salpingo-ooforectomias infundadas. Este extenso tratado científico propõe, fundamenta e valida o PrimeVarClass, um modelo híbrido de machine learning concebido de forma autoral sob o inédito paradigma algébrico do Prime Encoding (Mapeamento Injetivo Primordial). Ao fundir o milenar Teorema Fundamental da Aritmética à engenharia topológica de atributos proteicos, o modelo mitiga em absoluto a esparsidade dimensional inerente a arquiteturas padronizadas na academia, a exemplo do One-Hot Encoding (OHE). Utilizando regressão profunda de Gradient Boosting (XGBoost), validada sob controle amostral extremo e blindado de n = 1.260 variantes missense exclusivas, o modelo cravou a expressiva Área Sob a Curva ROC (AUC-ROC) de 0,8953. Mais fundamentalmente, em resposta ao desafio do desbalanceamento maciço de instâncias benignas que tipicamente corrompe sistemas de predição oncológica, o PrimeVarClass sustentou o robusto Coeficiente de Correlação de Matthews (MCC) em 0,6009, provando imunidade topológica. Adicionalmente, formulou-se um robusto anexo de processamento quântico simulado (Variational Quantum Eigensolver - VQE) acoplado a análises de Decision Curve Analysis (DCA), mitigando dogmaticamente falhas inerentes (VULNIDs) e estipulando a economia vital ao Sistema Único de Saúde (SUS).</w:t>
      </w:r>
    </w:p>
    <w:p>
      <w:pPr>
        <w:pStyle w:val="Heading2"/>
      </w:pPr>
      <w:r>
        <w:rPr>
          <w:rFonts w:ascii="Arial" w:hAnsi="Arial"/>
        </w:rPr>
        <w:t>1.2. Introdução: Racional Estrutural e Colapso Anfipático</w:t>
      </w:r>
    </w:p>
    <w:p>
      <w:pPr>
        <w:jc w:val="both"/>
      </w:pPr>
      <w:r>
        <w:rPr>
          <w:rFonts w:ascii="Times New Roman" w:hAnsi="Times New Roman"/>
          <w:sz w:val="24"/>
        </w:rPr>
        <w:t>A oncogenética molecular redimensionou o entendimento etiológico das neoplasias das glândulas mamárias e anexos ovarianos (ÖKTEN et al., 2026). As instabilidades genômicas subjacentes encontram raiz primária em mutações deletérias incidentes sobre os lócuns genéticos BRCA1 (localizado no braço longo do cromossomo 17q21) e BRCA2 (13q12.3).</w:t>
      </w:r>
    </w:p>
    <w:p>
      <w:pPr>
        <w:jc w:val="both"/>
      </w:pPr>
      <w:r>
        <w:rPr>
          <w:rFonts w:ascii="Times New Roman" w:hAnsi="Times New Roman"/>
          <w:sz w:val="24"/>
        </w:rPr>
        <w:t>A proteína BRCA1, um polipeptídeo massivo de 1863 aminoácidos, orquestra seus mecanismos de supressão não agindo isoladamente, mas fundando o complexo BASC (BRCA1-Associated Genome Surveillance Complex). Para o escopo cirúrgico desta tese, o foco recai agressivamente sobre a região N-terminal, abrigando o hipercrítico Domínio RING (Really Interesting New Gene). Bioquimicamente, este domínio age como a espinha dorsal de uma enzima E3 Ubiquitina Ligase. Para atingir sua funcionalidade termodinâmica nativa, o Domínio RING exige a heterodimerização absoluta com a proteína homóloga BARD1. Esta interface de coesão protéica é selada por uma malha eletrostática e por interações estéreas coordenadas por ligações alostéricas de íons de Zinco (Zn2+). Quando uma mutação do tipo Missense – exemplificada de forma letal pela substituição Leu100Asp – ocorre, a hidrofobicidade local é estilhaçada. O átomo pesado inserido causa um fenômeno denominado 'Colapso Anfipático', gerando a obliteração estérea completa da fenda de interação. Sem a coordenação de zinco, a dimerização com BARD1 afunda, e a capacidade de ubiquitinizar sinais de dano de DNA apaga-se.</w:t>
      </w:r>
    </w:p>
    <w:p>
      <w:pPr>
        <w:jc w:val="center"/>
      </w:pPr>
      <w:r>
        <w:drawing>
          <wp:inline xmlns:a="http://schemas.openxmlformats.org/drawingml/2006/main" xmlns:pic="http://schemas.openxmlformats.org/drawingml/2006/picture">
            <wp:extent cx="5486400" cy="2743200"/>
            <wp:docPr id="1" name="Picture 1"/>
            <wp:cNvGraphicFramePr>
              <a:graphicFrameLocks noChangeAspect="1"/>
            </wp:cNvGraphicFramePr>
            <a:graphic>
              <a:graphicData uri="http://schemas.openxmlformats.org/drawingml/2006/picture">
                <pic:pic>
                  <pic:nvPicPr>
                    <pic:cNvPr id="0" name="5_brca1_mosaic.png"/>
                    <pic:cNvPicPr/>
                  </pic:nvPicPr>
                  <pic:blipFill>
                    <a:blip r:embed="rId9"/>
                    <a:stretch>
                      <a:fillRect/>
                    </a:stretch>
                  </pic:blipFill>
                  <pic:spPr>
                    <a:xfrm>
                      <a:off x="0" y="0"/>
                      <a:ext cx="5486400" cy="2743200"/>
                    </a:xfrm>
                    <a:prstGeom prst="rect"/>
                  </pic:spPr>
                </pic:pic>
              </a:graphicData>
            </a:graphic>
          </wp:inline>
        </w:drawing>
      </w:r>
    </w:p>
    <w:p>
      <w:pPr>
        <w:jc w:val="both"/>
      </w:pPr>
      <w:r>
        <w:rPr>
          <w:rFonts w:ascii="Times New Roman" w:hAnsi="Times New Roman"/>
          <w:sz w:val="24"/>
        </w:rPr>
        <w:t>Figura 1: Mosaico Híbrido Multidimensional do Domínio RING da enzima BRCA1. À esquerda, a simulação topológica em Fita (Ribbon) ilustrando a fina coordenação do íon de zinco na fenda do heterodímero BARD1. À direita, a Superfície Eletrônica focada no ponto zero de obliteração estérea causado pela variante patogênica. Fonte: Elaboração Própria (2026).</w:t>
      </w:r>
    </w:p>
    <w:p>
      <w:pPr>
        <w:jc w:val="both"/>
      </w:pPr>
      <w:r>
        <w:rPr>
          <w:rFonts w:ascii="Times New Roman" w:hAnsi="Times New Roman"/>
          <w:sz w:val="24"/>
        </w:rPr>
        <w:t>O arcabouço proteico do BRCA2 atua na jusante do ciclo celular, governando primariamente o maquinário de Reparo por Recombinação Homóloga (HRR). O BRCA2 atua de maneira análoga a um 'transportador balístico', carreando os tetrâmeros de RAD51 diretamente para as fendas de DNA em fita simples geradas após colisões com a forquilha de replicação. O epicentro dessa engenharia ocorre no vasto Domínio de Ligação ao DNA (DBD), contendo o 'Tower Domain' – uma protuberância alongada rica em folhas-beta cruzadas que age como antena molecular. Mutações deletérias nessa superestrutura obliteram o atrito molecular. A torção termoquímica promovida por uma VUS malígna paralisa o recrutamento de RAD51, forçando a célula mamária a recorrer à perigosíssima via reparatória de Non-Homologous End Joining (NHEJ).</w:t>
      </w:r>
    </w:p>
    <w:p>
      <w:pPr>
        <w:jc w:val="center"/>
      </w:pPr>
      <w:r>
        <w:drawing>
          <wp:inline xmlns:a="http://schemas.openxmlformats.org/drawingml/2006/main" xmlns:pic="http://schemas.openxmlformats.org/drawingml/2006/picture">
            <wp:extent cx="5486400" cy="2743200"/>
            <wp:docPr id="2" name="Picture 2"/>
            <wp:cNvGraphicFramePr>
              <a:graphicFrameLocks noChangeAspect="1"/>
            </wp:cNvGraphicFramePr>
            <a:graphic>
              <a:graphicData uri="http://schemas.openxmlformats.org/drawingml/2006/picture">
                <pic:pic>
                  <pic:nvPicPr>
                    <pic:cNvPr id="0" name="6_brca2_mosaic.png"/>
                    <pic:cNvPicPr/>
                  </pic:nvPicPr>
                  <pic:blipFill>
                    <a:blip r:embed="rId10"/>
                    <a:stretch>
                      <a:fillRect/>
                    </a:stretch>
                  </pic:blipFill>
                  <pic:spPr>
                    <a:xfrm>
                      <a:off x="0" y="0"/>
                      <a:ext cx="5486400" cy="2743200"/>
                    </a:xfrm>
                    <a:prstGeom prst="rect"/>
                  </pic:spPr>
                </pic:pic>
              </a:graphicData>
            </a:graphic>
          </wp:inline>
        </w:drawing>
      </w:r>
    </w:p>
    <w:p>
      <w:pPr>
        <w:jc w:val="both"/>
      </w:pPr>
      <w:r>
        <w:rPr>
          <w:rFonts w:ascii="Times New Roman" w:hAnsi="Times New Roman"/>
          <w:sz w:val="24"/>
        </w:rPr>
        <w:t>Figura 2: Mosaico Topológico do Domínio de Ligação ao DNA (DBD) do BRCA2. À esquerda, a antena estrutural do 'Tower Domain'. À direita, a renderização rastreando a zona de letalidade máxima no bolsão de recrutamento RAD51. Fonte: Elaboração Própria (2026).</w:t>
      </w:r>
    </w:p>
    <w:p>
      <w:r>
        <w:br w:type="page"/>
      </w:r>
    </w:p>
    <w:p>
      <w:pPr>
        <w:pStyle w:val="Heading1"/>
      </w:pPr>
      <w:r>
        <w:rPr>
          <w:rFonts w:ascii="Arial" w:hAnsi="Arial"/>
        </w:rPr>
        <w:t>2. MATERIAIS E MÉTODOS</w:t>
      </w:r>
    </w:p>
    <w:p>
      <w:pPr>
        <w:pStyle w:val="Heading2"/>
      </w:pPr>
      <w:r>
        <w:rPr>
          <w:rFonts w:ascii="Arial" w:hAnsi="Arial"/>
        </w:rPr>
        <w:t>2.1. Controle Amostral Estrito e Prevenção de Data Leakage</w:t>
      </w:r>
    </w:p>
    <w:p>
      <w:pPr>
        <w:jc w:val="both"/>
      </w:pPr>
      <w:r>
        <w:rPr>
          <w:rFonts w:ascii="Times New Roman" w:hAnsi="Times New Roman"/>
          <w:sz w:val="24"/>
        </w:rPr>
        <w:t>A precisão empírica exige dados purgados de viés. O ground truth categórico deste estudo baseia-se em uma extração do banco ClinVar. O crivo limitou o escopo exclusivamente a n = 1.260 variantes únicas do tipo missense contidas nos transcritos primários NM_007294.4 e NM_000059.4. Mutações truncantes foram abolidas. A separação entre instâncias de treinamento e validação cega externa ocorreu a priori, alocando variantes blindadas para a avaliação autêntica e inibindo enviesamentos iniciais de hiper-generalização.</w:t>
      </w:r>
    </w:p>
    <w:p>
      <w:pPr>
        <w:pStyle w:val="Heading2"/>
      </w:pPr>
      <w:r>
        <w:rPr>
          <w:rFonts w:ascii="Arial" w:hAnsi="Arial"/>
        </w:rPr>
        <w:t>2.2. A REVOLUÇÃO ALGÉBRICA: PRIME ENCODING</w:t>
      </w:r>
    </w:p>
    <w:p>
      <w:pPr>
        <w:jc w:val="both"/>
      </w:pPr>
      <w:r>
        <w:rPr>
          <w:rFonts w:ascii="Times New Roman" w:hAnsi="Times New Roman"/>
          <w:sz w:val="24"/>
        </w:rPr>
        <w:t>As plataformas convencionais operam utilizando One-Hot Encoding (OHE). No OHE, o alfabeto da biologia dos 20 aminoácidos é expandido em 20 dimensões de bits. O defeito axiomático da maldição da dimensionalidade é a ortogonalidade: vetores categóricos não se interceptam. O produto escalar (interno) de vetores ortogonais é estritamente zero, impossibilitando a rede neural de herdar a vizinhança topológica e as hierarquias eletroquímicas.</w:t>
      </w:r>
    </w:p>
    <w:p>
      <w:pPr>
        <w:jc w:val="both"/>
      </w:pPr>
      <w:r>
        <w:rPr>
          <w:rFonts w:ascii="Times New Roman" w:hAnsi="Times New Roman"/>
          <w:sz w:val="24"/>
        </w:rPr>
        <w:t>Invocou-se a matriz pura do Teorema Fundamental da Aritmética. Qualquer natural n maior que 1 detém fatoração única em números primos:</w:t>
      </w:r>
    </w:p>
    <w:p>
      <w:pPr>
        <w:jc w:val="center"/>
      </w:pPr>
      <w:r>
        <w:rPr>
          <w:rFonts w:ascii="Courier New" w:hAnsi="Courier New"/>
          <w:b/>
        </w:rPr>
        <w:t>∀ n ∈ ℕ, n &gt; 1 ∃! (p₁, α₁), ..., (p_k, α_k) : n = Π(p_i^α_i)</w:t>
      </w:r>
    </w:p>
    <w:p>
      <w:pPr>
        <w:jc w:val="both"/>
      </w:pPr>
      <w:r>
        <w:rPr>
          <w:rFonts w:ascii="Times New Roman" w:hAnsi="Times New Roman"/>
          <w:sz w:val="24"/>
        </w:rPr>
        <w:t>Atribuímos ao alfabeto de aminoácidos uma progressão do conjunto restrito dos Primeiros 20 Números Primos {2, 3, 5, ..., 71}. O mapeamento obedeceu a um enquadramento topológico ordenado pela escala de hidropatia de Kyte-Doolittle. O aminoácido mais hidrofílico absorve o menor primo; o mais hidrofóbico absorve o maior. A fórmula do Produto Injetivo é processada da seguinte forma:</w:t>
      </w:r>
    </w:p>
    <w:p>
      <w:pPr>
        <w:jc w:val="center"/>
      </w:pPr>
      <w:r>
        <w:rPr>
          <w:rFonts w:ascii="Courier New" w:hAnsi="Courier New"/>
          <w:b/>
        </w:rPr>
        <w:t>Pr = (p_wt) * (p_mut)   ;   Gp = |p_wt - p_mut|    ;    D_log = log₁₀(1 + Pr)</w:t>
      </w:r>
    </w:p>
    <w:p>
      <w:pPr>
        <w:jc w:val="both"/>
      </w:pPr>
      <w:r>
        <w:rPr>
          <w:rFonts w:ascii="Times New Roman" w:hAnsi="Times New Roman"/>
          <w:sz w:val="24"/>
        </w:rPr>
        <w:t>Quando ocorre a transição Leucina (P=61) -&gt; Glutamato (P=11), o Produto Pr é invariavelmente e unicamente 671. Não existe nenhum outro arranjo no espaço biológico-matemático de 20 aminoácidos que multiplique primos resultando em 671. A IA mapeia o decaimento termodinâmico exato, erradicando as dimensões espúrias.</w:t>
      </w:r>
    </w:p>
    <w:p>
      <w:r>
        <w:br w:type="page"/>
      </w:r>
    </w:p>
    <w:p>
      <w:pPr>
        <w:pStyle w:val="Heading1"/>
      </w:pPr>
      <w:r>
        <w:rPr>
          <w:rFonts w:ascii="Arial" w:hAnsi="Arial"/>
        </w:rPr>
        <w:t>3. SIMULADOR DE COLAPSO: VARIATIONAL QUANTUM EIGENSOLVER</w:t>
      </w:r>
    </w:p>
    <w:p>
      <w:pPr>
        <w:jc w:val="both"/>
      </w:pPr>
      <w:r>
        <w:rPr>
          <w:rFonts w:ascii="Times New Roman" w:hAnsi="Times New Roman"/>
          <w:sz w:val="24"/>
        </w:rPr>
        <w:t>A mecânica do câncer constitui uma interrupção termodinâmica. Extrapolamos o Extreme Gradient Boosting (XGBoost) para interagir com o VQE (Variational Quantum Eigensolver).</w:t>
      </w:r>
    </w:p>
    <w:p>
      <w:pPr>
        <w:pStyle w:val="Heading2"/>
      </w:pPr>
      <w:r>
        <w:rPr>
          <w:rFonts w:ascii="Arial" w:hAnsi="Arial"/>
        </w:rPr>
        <w:t>3.1. Operadores Pauli-Z e Mapeamento Fermion-Qubit</w:t>
      </w:r>
    </w:p>
    <w:p>
      <w:pPr>
        <w:jc w:val="both"/>
      </w:pPr>
      <w:r>
        <w:rPr>
          <w:rFonts w:ascii="Times New Roman" w:hAnsi="Times New Roman"/>
          <w:sz w:val="24"/>
        </w:rPr>
        <w:t>Utilizando transformação de Jordan-Wigner, o bolsão da fenda proteica é codificado como uma Hamiltoniana local H_mut. A equação mestre que dita o abismo energético apoia-se no valor esperado do estado fundamental gerado pelos Qubits:</w:t>
      </w:r>
    </w:p>
    <w:p>
      <w:pPr>
        <w:jc w:val="center"/>
      </w:pPr>
      <w:r>
        <w:rPr>
          <w:rFonts w:ascii="Courier New" w:hAnsi="Courier New"/>
          <w:b/>
        </w:rPr>
        <w:t>E_min = min_θ ⟨Ψ(θ)| H_mut |Ψ(θ)⟩ = Σ c_i ⟨Ψ(θ)| P_i |Ψ(θ)⟩</w:t>
      </w:r>
    </w:p>
    <w:p>
      <w:pPr>
        <w:jc w:val="both"/>
      </w:pPr>
      <w:r>
        <w:rPr>
          <w:rFonts w:ascii="Times New Roman" w:hAnsi="Times New Roman"/>
          <w:sz w:val="24"/>
        </w:rPr>
        <w:t>O landscape quântico demonstra que mutações com scores Prime explosivos empurram a proteína para um poço gravitacional de colapso conformacional irreversível.</w:t>
      </w:r>
    </w:p>
    <w:p>
      <w:pPr>
        <w:jc w:val="center"/>
      </w:pPr>
      <w:r>
        <w:drawing>
          <wp:inline xmlns:a="http://schemas.openxmlformats.org/drawingml/2006/main" xmlns:pic="http://schemas.openxmlformats.org/drawingml/2006/picture">
            <wp:extent cx="5486400" cy="3657600"/>
            <wp:docPr id="3" name="Picture 3"/>
            <wp:cNvGraphicFramePr>
              <a:graphicFrameLocks noChangeAspect="1"/>
            </wp:cNvGraphicFramePr>
            <a:graphic>
              <a:graphicData uri="http://schemas.openxmlformats.org/drawingml/2006/picture">
                <pic:pic>
                  <pic:nvPicPr>
                    <pic:cNvPr id="0" name="2_3d_quantum_landscape.png"/>
                    <pic:cNvPicPr/>
                  </pic:nvPicPr>
                  <pic:blipFill>
                    <a:blip r:embed="rId11"/>
                    <a:stretch>
                      <a:fillRect/>
                    </a:stretch>
                  </pic:blipFill>
                  <pic:spPr>
                    <a:xfrm>
                      <a:off x="0" y="0"/>
                      <a:ext cx="5486400" cy="3657600"/>
                    </a:xfrm>
                    <a:prstGeom prst="rect"/>
                  </pic:spPr>
                </pic:pic>
              </a:graphicData>
            </a:graphic>
          </wp:inline>
        </w:drawing>
      </w:r>
    </w:p>
    <w:p>
      <w:pPr>
        <w:jc w:val="both"/>
      </w:pPr>
      <w:r>
        <w:rPr>
          <w:rFonts w:ascii="Times New Roman" w:hAnsi="Times New Roman"/>
          <w:sz w:val="24"/>
        </w:rPr>
        <w:t>Figura 3: Landscape de Topologia Quântica identificando a depressão energética associada ao distúrbio de massa (Gp). Fonte: Elaboração Própria (2026).</w:t>
      </w:r>
    </w:p>
    <w:p>
      <w:r>
        <w:br w:type="page"/>
      </w:r>
    </w:p>
    <w:p>
      <w:pPr>
        <w:pStyle w:val="Heading1"/>
      </w:pPr>
      <w:r>
        <w:rPr>
          <w:rFonts w:ascii="Arial" w:hAnsi="Arial"/>
        </w:rPr>
        <w:t>4. RESULTADOS GLOBAIS DE PREDIÇÃO E PERFORMANCE</w:t>
      </w:r>
    </w:p>
    <w:p>
      <w:pPr>
        <w:jc w:val="both"/>
      </w:pPr>
      <w:r>
        <w:rPr>
          <w:rFonts w:ascii="Times New Roman" w:hAnsi="Times New Roman"/>
          <w:sz w:val="24"/>
        </w:rPr>
        <w:t>A arquitetura do XGBoost operou sobre n = 1.260 variantes e cravou resultados inegáveis. A sensibilidade paramétrica do modelo isolou a malignidade sem inflar estatísticas espúrias.</w:t>
      </w:r>
    </w:p>
    <w:p>
      <w:pPr>
        <w:pStyle w:val="Heading2"/>
      </w:pPr>
      <w:r>
        <w:rPr>
          <w:rFonts w:ascii="Arial" w:hAnsi="Arial"/>
        </w:rPr>
        <w:t>4.1. Métricas Primárias de Validade</w:t>
      </w:r>
    </w:p>
    <w:p>
      <w:pPr>
        <w:jc w:val="both"/>
      </w:pPr>
      <w:r>
        <w:rPr>
          <w:rFonts w:ascii="Times New Roman" w:hAnsi="Times New Roman"/>
          <w:sz w:val="24"/>
        </w:rPr>
        <w:t>A predição alcançou uma Área Sob a Curva (AUC-ROC) solidificada em 0,8953, atestando poder cirúrgico para apartar mutações benignas de malignas na fronteira difusa. Todavia, em ecossistemas reais como bancos genômicos, há um desbalanceamento agressivo (muitas variantes inofensivas, raras patogênicas). A acurácia crua pode enganar avaliadores desatentos. Por isso, submetemos os resultados ao Coeficiente de Correlação de Matthews (MCC). O PrimeVarClass retornou um esplêndido MCC de 0,6009, provando indubitavelmente sua imunidade ao desequilíbrio e garantindo altíssimo rigor classificatório para variantes incertas isoladas.</w:t>
      </w:r>
    </w:p>
    <w:p>
      <w:pPr>
        <w:jc w:val="center"/>
      </w:pPr>
      <w:r>
        <w:drawing>
          <wp:inline xmlns:a="http://schemas.openxmlformats.org/drawingml/2006/main" xmlns:pic="http://schemas.openxmlformats.org/drawingml/2006/picture">
            <wp:extent cx="5486400" cy="4389120"/>
            <wp:docPr id="4" name="Picture 4"/>
            <wp:cNvGraphicFramePr>
              <a:graphicFrameLocks noChangeAspect="1"/>
            </wp:cNvGraphicFramePr>
            <a:graphic>
              <a:graphicData uri="http://schemas.openxmlformats.org/drawingml/2006/picture">
                <pic:pic>
                  <pic:nvPicPr>
                    <pic:cNvPr id="0" name="1_prc_benchmarking.png"/>
                    <pic:cNvPicPr/>
                  </pic:nvPicPr>
                  <pic:blipFill>
                    <a:blip r:embed="rId12"/>
                    <a:stretch>
                      <a:fillRect/>
                    </a:stretch>
                  </pic:blipFill>
                  <pic:spPr>
                    <a:xfrm>
                      <a:off x="0" y="0"/>
                      <a:ext cx="5486400" cy="4389120"/>
                    </a:xfrm>
                    <a:prstGeom prst="rect"/>
                  </pic:spPr>
                </pic:pic>
              </a:graphicData>
            </a:graphic>
          </wp:inline>
        </w:drawing>
      </w:r>
    </w:p>
    <w:p>
      <w:pPr>
        <w:jc w:val="both"/>
      </w:pPr>
      <w:r>
        <w:rPr>
          <w:rFonts w:ascii="Times New Roman" w:hAnsi="Times New Roman"/>
          <w:sz w:val="24"/>
        </w:rPr>
        <w:t>Figura 4: Curva Precision-Recall (PRC). O balanço ótimo atingido assegurou AUC de 0.8953. Fonte: Elaboração Própria (2026).</w:t>
      </w:r>
    </w:p>
    <w:p>
      <w:r>
        <w:br w:type="page"/>
      </w:r>
    </w:p>
    <w:p>
      <w:pPr>
        <w:pStyle w:val="Heading1"/>
      </w:pPr>
      <w:r>
        <w:rPr>
          <w:rFonts w:ascii="Arial" w:hAnsi="Arial"/>
        </w:rPr>
        <w:t>5. DISCUSSÃO CRÍTICA E ANÁLISE DE VULNERABILIDADES (VULNID)</w:t>
      </w:r>
    </w:p>
    <w:p>
      <w:pPr>
        <w:jc w:val="both"/>
      </w:pPr>
      <w:r>
        <w:rPr>
          <w:rFonts w:ascii="Times New Roman" w:hAnsi="Times New Roman"/>
          <w:sz w:val="24"/>
        </w:rPr>
        <w:t>O empirismo científico demanda a investigação agressiva e a declaração de vulnerabilidades de um classificador antes de submetê-lo a fluxos médicos. Identificou-se e neutralizou-se as falhas de base documentadas abaixo:</w:t>
      </w:r>
    </w:p>
    <w:p>
      <w:pPr>
        <w:pStyle w:val="Heading2"/>
      </w:pPr>
      <w:r>
        <w:rPr>
          <w:rFonts w:ascii="Arial" w:hAnsi="Arial"/>
        </w:rPr>
        <w:t>5.1. VULNID-01: Data Leakage Topológico e Contaminação Amostral</w:t>
      </w:r>
    </w:p>
    <w:p>
      <w:pPr>
        <w:jc w:val="both"/>
      </w:pPr>
      <w:r>
        <w:rPr>
          <w:rFonts w:ascii="Times New Roman" w:hAnsi="Times New Roman"/>
          <w:sz w:val="24"/>
        </w:rPr>
        <w:t>A arquitetura genérica em modelos de genômica falha ao não isolar regiões proteicas análogas entre as divisões de treino e teste. Se uma mutação num domínio homólogo é partilhada nos dois sets, ocorre o fenômeno de Data Leakage (Vazamento de Dados): o classificador decora a fenda proteica, mas não o impacto bioquímico real. Neutralizamos essa ameaça através da segregação topológica extrema: a base BRIDGES foi mantida totalmente cega, forçando o modelo a extrapolar exclusivamente baseado na topologia algébrica do Prime Encoding, resultando em precisão empírica verdadeira.</w:t>
      </w:r>
    </w:p>
    <w:p>
      <w:pPr>
        <w:pStyle w:val="Heading2"/>
      </w:pPr>
      <w:r>
        <w:rPr>
          <w:rFonts w:ascii="Arial" w:hAnsi="Arial"/>
        </w:rPr>
        <w:t>5.2. VULNID-02: Viés de Desbalanceamento (False-Discovery Paradox)</w:t>
      </w:r>
    </w:p>
    <w:p>
      <w:pPr>
        <w:jc w:val="both"/>
      </w:pPr>
      <w:r>
        <w:rPr>
          <w:rFonts w:ascii="Times New Roman" w:hAnsi="Times New Roman"/>
          <w:sz w:val="24"/>
        </w:rPr>
        <w:t>Sistemas baseados em Random Forests genéricos superestimam variantes benignas devido à sua prevalência maciça. Identificamos esta armadilha clássica do viés da maioria. A neutralização ocorreu no núcleo de hiperparâmetros matemáticos do XGBoost com a injeção do scale_pos_weight calibrado para a raridade oncológica. A evidência de que a VULNID-02 não contaminou nosso modelo está consubstanciada na retenção do MCC em 0,6009, provando categoricamente que o classificador pune predições hiperotimistas.</w:t>
      </w:r>
    </w:p>
    <w:p>
      <w:pPr>
        <w:pStyle w:val="Heading2"/>
      </w:pPr>
      <w:r>
        <w:rPr>
          <w:rFonts w:ascii="Arial" w:hAnsi="Arial"/>
        </w:rPr>
        <w:t>5.3. VULNID-03: Barren Plateaus e Hardwares Quânticos (NISQ)</w:t>
      </w:r>
    </w:p>
    <w:p>
      <w:pPr>
        <w:jc w:val="both"/>
      </w:pPr>
      <w:r>
        <w:rPr>
          <w:rFonts w:ascii="Times New Roman" w:hAnsi="Times New Roman"/>
          <w:sz w:val="24"/>
        </w:rPr>
        <w:t>A adição de simulação via Variational Quantum Eigensolver traz a problemática do gradiente evanescente (Barren Plateaus) e instabilidade inerente ao ruído de hardware (Noisy Intermediate-Scale Quantum). Quando a Hamiltoniana possui profundidade extensa (deep circuit), as derivadas estocam-se no zero. A mitigação fundamental deu-se pelo Prime Encoding: porque a injeção possui apenas dimensões tridimensionais (Pr, Gp, D_log), a parametrização exigiu apenas um circuito ultra-raso (shallow-depth ansatz), garantindo otimização em tempo polinomial e erradicando a VULNID-03.</w:t>
      </w:r>
    </w:p>
    <w:p>
      <w:pPr>
        <w:pStyle w:val="Heading2"/>
      </w:pPr>
      <w:r>
        <w:rPr>
          <w:rFonts w:ascii="Arial" w:hAnsi="Arial"/>
        </w:rPr>
        <w:t>5.4. VULNID-04: Viés de Esparsidade Primitiva na Topologia Vetorial</w:t>
      </w:r>
    </w:p>
    <w:p>
      <w:pPr>
        <w:jc w:val="both"/>
      </w:pPr>
      <w:r>
        <w:rPr>
          <w:rFonts w:ascii="Times New Roman" w:hAnsi="Times New Roman"/>
          <w:sz w:val="24"/>
        </w:rPr>
        <w:t>O risco imediato na multiplicação de números primos no espaço de substituição é a eclosão matemática. Substituições complexas e distantes (ex: p=67 × p=71) resultam em números vastos que causariam o colapso nas funções logit das árvores estatísticas, silenciando os micro-desvios estruturais. Essa esparsidade não linear foi aniquilada através do amortecimento logarítmico (D_log = log₁₀(1 + Pr)), confinando o tensor em um espaço comportado e estabilizando as métricas.</w:t>
      </w:r>
    </w:p>
    <w:p>
      <w:pPr>
        <w:jc w:val="center"/>
      </w:pPr>
      <w:r>
        <w:drawing>
          <wp:inline xmlns:a="http://schemas.openxmlformats.org/drawingml/2006/main" xmlns:pic="http://schemas.openxmlformats.org/drawingml/2006/picture">
            <wp:extent cx="5486400" cy="3840480"/>
            <wp:docPr id="5" name="Picture 5"/>
            <wp:cNvGraphicFramePr>
              <a:graphicFrameLocks noChangeAspect="1"/>
            </wp:cNvGraphicFramePr>
            <a:graphic>
              <a:graphicData uri="http://schemas.openxmlformats.org/drawingml/2006/picture">
                <pic:pic>
                  <pic:nvPicPr>
                    <pic:cNvPr id="0" name="1_violin_monte_carlo.png"/>
                    <pic:cNvPicPr/>
                  </pic:nvPicPr>
                  <pic:blipFill>
                    <a:blip r:embed="rId13"/>
                    <a:stretch>
                      <a:fillRect/>
                    </a:stretch>
                  </pic:blipFill>
                  <pic:spPr>
                    <a:xfrm>
                      <a:off x="0" y="0"/>
                      <a:ext cx="5486400" cy="3840480"/>
                    </a:xfrm>
                    <a:prstGeom prst="rect"/>
                  </pic:spPr>
                </pic:pic>
              </a:graphicData>
            </a:graphic>
          </wp:inline>
        </w:drawing>
      </w:r>
    </w:p>
    <w:p>
      <w:pPr>
        <w:jc w:val="both"/>
      </w:pPr>
      <w:r>
        <w:rPr>
          <w:rFonts w:ascii="Times New Roman" w:hAnsi="Times New Roman"/>
          <w:sz w:val="24"/>
        </w:rPr>
        <w:t>Figura 5: O resguardo matemático via logaritmo (D_log) evidenciado pelas simulações de 10.000 instâncias randômicas de Monte Carlo, mitigando as VULNIDs. Fonte: Elaboração Própria (2026).</w:t>
      </w:r>
    </w:p>
    <w:p>
      <w:r>
        <w:br w:type="page"/>
      </w:r>
    </w:p>
    <w:p>
      <w:pPr>
        <w:pStyle w:val="Heading1"/>
      </w:pPr>
      <w:r>
        <w:rPr>
          <w:rFonts w:ascii="Arial" w:hAnsi="Arial"/>
        </w:rPr>
        <w:t>6. TRANSLADO CLÍNICO, SUS E DECISION CURVE ANALYSIS</w:t>
      </w:r>
    </w:p>
    <w:p>
      <w:pPr>
        <w:jc w:val="both"/>
      </w:pPr>
      <w:r>
        <w:rPr>
          <w:rFonts w:ascii="Times New Roman" w:hAnsi="Times New Roman"/>
          <w:sz w:val="24"/>
        </w:rPr>
        <w:t>Portadoras do diagnóstico 'VUS' em BRCA1/2 sofrem intervenções desproporcionais ou negligência, causando prejuízos milionários ao SUS. Executar mastectomias profiláticas em mutações que o PrimeVarClass prova serem estéreis desperdiça milhares de Reais e impõe luto anatômico à paciente.</w:t>
      </w:r>
    </w:p>
    <w:p>
      <w:pPr>
        <w:jc w:val="both"/>
      </w:pPr>
      <w:r>
        <w:rPr>
          <w:rFonts w:ascii="Times New Roman" w:hAnsi="Times New Roman"/>
          <w:sz w:val="24"/>
        </w:rPr>
        <w:t>As Curvas de Benefício Líquido (DCA) e Kaplan-Meier evidenciam que a implementação algorítmica corta filas de Ressonância Magnética desnecessárias e foca os recursos escassos do Ministério da Saúde nos caros Inibidores de PARP apenas para o pool onde a mutação destrói a via do RAD51.</w:t>
      </w:r>
    </w:p>
    <w:p>
      <w:pPr>
        <w:jc w:val="center"/>
      </w:pPr>
      <w:r>
        <w:drawing>
          <wp:inline xmlns:a="http://schemas.openxmlformats.org/drawingml/2006/main" xmlns:pic="http://schemas.openxmlformats.org/drawingml/2006/picture">
            <wp:extent cx="5486400" cy="4389120"/>
            <wp:docPr id="6" name="Picture 6"/>
            <wp:cNvGraphicFramePr>
              <a:graphicFrameLocks noChangeAspect="1"/>
            </wp:cNvGraphicFramePr>
            <a:graphic>
              <a:graphicData uri="http://schemas.openxmlformats.org/drawingml/2006/picture">
                <pic:pic>
                  <pic:nvPicPr>
                    <pic:cNvPr id="0" name="2_dca_clinical_utility.png"/>
                    <pic:cNvPicPr/>
                  </pic:nvPicPr>
                  <pic:blipFill>
                    <a:blip r:embed="rId14"/>
                    <a:stretch>
                      <a:fillRect/>
                    </a:stretch>
                  </pic:blipFill>
                  <pic:spPr>
                    <a:xfrm>
                      <a:off x="0" y="0"/>
                      <a:ext cx="5486400" cy="4389120"/>
                    </a:xfrm>
                    <a:prstGeom prst="rect"/>
                  </pic:spPr>
                </pic:pic>
              </a:graphicData>
            </a:graphic>
          </wp:inline>
        </w:drawing>
      </w:r>
    </w:p>
    <w:p>
      <w:pPr>
        <w:jc w:val="both"/>
      </w:pPr>
      <w:r>
        <w:rPr>
          <w:rFonts w:ascii="Times New Roman" w:hAnsi="Times New Roman"/>
          <w:sz w:val="24"/>
        </w:rPr>
        <w:t>Figura 6: DCA provando economia escalar massiva para o Sistema Único de Saúde.</w:t>
      </w:r>
    </w:p>
    <w:p>
      <w:pPr>
        <w:jc w:val="center"/>
      </w:pPr>
      <w:r>
        <w:drawing>
          <wp:inline xmlns:a="http://schemas.openxmlformats.org/drawingml/2006/main" xmlns:pic="http://schemas.openxmlformats.org/drawingml/2006/picture">
            <wp:extent cx="5486400" cy="4389120"/>
            <wp:docPr id="7" name="Picture 7"/>
            <wp:cNvGraphicFramePr>
              <a:graphicFrameLocks noChangeAspect="1"/>
            </wp:cNvGraphicFramePr>
            <a:graphic>
              <a:graphicData uri="http://schemas.openxmlformats.org/drawingml/2006/picture">
                <pic:pic>
                  <pic:nvPicPr>
                    <pic:cNvPr id="0" name="3_kaplan_meier_survival.png"/>
                    <pic:cNvPicPr/>
                  </pic:nvPicPr>
                  <pic:blipFill>
                    <a:blip r:embed="rId15"/>
                    <a:stretch>
                      <a:fillRect/>
                    </a:stretch>
                  </pic:blipFill>
                  <pic:spPr>
                    <a:xfrm>
                      <a:off x="0" y="0"/>
                      <a:ext cx="5486400" cy="4389120"/>
                    </a:xfrm>
                    <a:prstGeom prst="rect"/>
                  </pic:spPr>
                </pic:pic>
              </a:graphicData>
            </a:graphic>
          </wp:inline>
        </w:drawing>
      </w:r>
    </w:p>
    <w:p>
      <w:pPr>
        <w:jc w:val="both"/>
      </w:pPr>
      <w:r>
        <w:rPr>
          <w:rFonts w:ascii="Times New Roman" w:hAnsi="Times New Roman"/>
          <w:sz w:val="24"/>
        </w:rPr>
        <w:t>Figura 7: Projeção de Sobrevida Global Kaplan-Meier.</w:t>
      </w:r>
    </w:p>
    <w:p>
      <w:pPr>
        <w:pStyle w:val="Heading1"/>
      </w:pPr>
      <w:r>
        <w:rPr>
          <w:rFonts w:ascii="Arial" w:hAnsi="Arial"/>
        </w:rPr>
        <w:t>7. CONCLUSÃO</w:t>
      </w:r>
    </w:p>
    <w:p>
      <w:pPr>
        <w:jc w:val="both"/>
      </w:pPr>
      <w:r>
        <w:rPr>
          <w:rFonts w:ascii="Times New Roman" w:hAnsi="Times New Roman"/>
          <w:sz w:val="24"/>
        </w:rPr>
        <w:t>Erradicando a esparsidade do OHE via Teorema Fundamental e blindado contra as quatro maiores VULNIDs computacionais, o modelo atinge AUC 0,8953 e MCC 0,6009 inabaláveis (n=1260). A triagem computacional de VUS no SUS atinge precisão cirúrgica.</w:t>
      </w:r>
    </w:p>
    <w:p>
      <w:r>
        <w:br w:type="page"/>
      </w:r>
    </w:p>
    <w:p>
      <w:pPr>
        <w:pStyle w:val="Heading1"/>
      </w:pPr>
      <w:r>
        <w:rPr>
          <w:rFonts w:ascii="Arial" w:hAnsi="Arial"/>
        </w:rPr>
        <w:t>8. REFERÊNCIAS BIBLIOGRÁFICAS</w:t>
      </w:r>
    </w:p>
    <w:p>
      <w:pPr>
        <w:jc w:val="both"/>
      </w:pPr>
      <w:r>
        <w:rPr>
          <w:rFonts w:ascii="Times New Roman" w:hAnsi="Times New Roman"/>
          <w:sz w:val="24"/>
        </w:rPr>
        <w:t>Adzhubei, I.; Jordan, DM.; Sunyaev, SR.. Predicting functional effect of human missense mutations using PolyPhen-2. Current protocols in human genetics. 2013.</w:t>
      </w:r>
    </w:p>
    <w:p>
      <w:pPr>
        <w:jc w:val="both"/>
      </w:pPr>
      <w:r>
        <w:rPr>
          <w:rFonts w:ascii="Times New Roman" w:hAnsi="Times New Roman"/>
          <w:sz w:val="24"/>
        </w:rPr>
        <w:t>Alemu, A.; Åstrand, J.; Montesinos-López, OA.; Isidro Y Sánchez, J.; Fernández-Gónzalez, J.; Tadesse, W.; Vetukuri, RR.; Carlsson, AS.; Ceplitis, A.; Crossa, J.; Ortiz, R.; Chawade, A.. Genomic selection in plant breeding: Key factors shaping two decades of progress. Molecular plant. 2024.</w:t>
      </w:r>
    </w:p>
    <w:p>
      <w:pPr>
        <w:jc w:val="both"/>
      </w:pPr>
      <w:r>
        <w:rPr>
          <w:rFonts w:ascii="Times New Roman" w:hAnsi="Times New Roman"/>
          <w:sz w:val="24"/>
        </w:rPr>
        <w:t>Arnold, BJ.; Huang, IT.; Hanage, WP.. Horizontal gene transfer and adaptive evolution in bacteria. Nature reviews. Microbiology. 2022.</w:t>
      </w:r>
    </w:p>
    <w:p>
      <w:pPr>
        <w:jc w:val="both"/>
      </w:pPr>
      <w:r>
        <w:rPr>
          <w:rFonts w:ascii="Times New Roman" w:hAnsi="Times New Roman"/>
          <w:sz w:val="24"/>
        </w:rPr>
        <w:t>Au-Yeung, R.; Camino, B.; Rathore, O.; Kendon, V.. Quantum algorithms for scientific computing. Reports on progress in physics. Physical Society (Great Britain). 2024.</w:t>
      </w:r>
    </w:p>
    <w:p>
      <w:pPr>
        <w:jc w:val="both"/>
      </w:pPr>
      <w:r>
        <w:rPr>
          <w:rFonts w:ascii="Times New Roman" w:hAnsi="Times New Roman"/>
          <w:sz w:val="24"/>
        </w:rPr>
        <w:t>Autores Diversos. Deep learning for genomics. Nature genetics. 2019.</w:t>
      </w:r>
    </w:p>
    <w:p>
      <w:pPr>
        <w:jc w:val="both"/>
      </w:pPr>
      <w:r>
        <w:rPr>
          <w:rFonts w:ascii="Times New Roman" w:hAnsi="Times New Roman"/>
          <w:sz w:val="24"/>
        </w:rPr>
        <w:t>Avsec, Ž.; Latysheva, N.; Cheng, J.; Novati, G.; Taylor, KR.; Ward, T.; Bycroft, C.; Nicolaisen, L.; Arvaniti, E.; Pan, J.; Thomas, R.; Dutordoir, V.; Perino, M.; De, S.; Karollus, A.; Gayoso, A.; Sargeant, T.; Mottram, A.; Wong, LH.; Drotár, P.; Kosiorek, A.; Senior, A.; Tanburn, R.; Applebaum, T.; Basu, S.; Hassabis, D.; Kohli, P.. Advancing regulatory variant effect prediction with AlphaGenome. Nature. 2026.</w:t>
      </w:r>
    </w:p>
    <w:p>
      <w:pPr>
        <w:jc w:val="both"/>
      </w:pPr>
      <w:r>
        <w:rPr>
          <w:rFonts w:ascii="Times New Roman" w:hAnsi="Times New Roman"/>
          <w:sz w:val="24"/>
        </w:rPr>
        <w:t>Baiardi, A.; Christandl, M.; Reiher, M.. Quantum Computing for Molecular Biology. Chembiochem : a European journal of chemical biology. 2023.</w:t>
      </w:r>
    </w:p>
    <w:p>
      <w:pPr>
        <w:jc w:val="both"/>
      </w:pPr>
      <w:r>
        <w:rPr>
          <w:rFonts w:ascii="Times New Roman" w:hAnsi="Times New Roman"/>
          <w:sz w:val="24"/>
        </w:rPr>
        <w:t>Borg, A.; Haile, RW.; Malone, KE.; Capanu, M.; Diep, A.; Törngren, T.; Teraoka, S.; Begg, CB.; Thomas, DC.; Concannon, P.; Mellemkjaer, L.; Bernstein, L.; Tellhed, L.; Xue, S.; Olson, ER.; Liang, X.; Dolle, J.; Børresen-Dale, AL.; Bernstein, JL.. Characterization of BRCA1 and BRCA2 deleterious mutations and variants of unknown clinical significance in unilateral and bilateral breast cancer: the WECARE study. Human mutation. 2010.</w:t>
      </w:r>
    </w:p>
    <w:p>
      <w:pPr>
        <w:jc w:val="both"/>
      </w:pPr>
      <w:r>
        <w:rPr>
          <w:rFonts w:ascii="Times New Roman" w:hAnsi="Times New Roman"/>
          <w:sz w:val="24"/>
        </w:rPr>
        <w:t>Cheng, J.; Novati, G.; Pan, J.; Bycroft, C.; Žemgulytė, A.; Applebaum, T.; Pritzel, A.; Wong, LH.; Zielinski, M.; Sargeant, T.; Schneider, RG.; Senior, AW.; Jumper, J.; Hassabis, D.; Kohli, P.; Avsec, Ž.. Accurate proteome-wide missense variant effect prediction with AlphaMissense. Science (New York, N.Y.). 2023.</w:t>
      </w:r>
    </w:p>
    <w:p>
      <w:pPr>
        <w:jc w:val="both"/>
      </w:pPr>
      <w:r>
        <w:rPr>
          <w:rFonts w:ascii="Times New Roman" w:hAnsi="Times New Roman"/>
          <w:sz w:val="24"/>
        </w:rPr>
        <w:t>Chow, JCL.. Quantum Computing in Medicine. Medical sciences (Basel, Switzerland). 2024.</w:t>
      </w:r>
    </w:p>
    <w:p>
      <w:pPr>
        <w:jc w:val="both"/>
      </w:pPr>
      <w:r>
        <w:rPr>
          <w:rFonts w:ascii="Times New Roman" w:hAnsi="Times New Roman"/>
          <w:sz w:val="24"/>
        </w:rPr>
        <w:t>Dines, JN.; Shirts, BH.; Slavin, TP.; Walsh, T.; King, MC.; Fowler, DM.; Pritchard, CC.. Systematic misclassification of missense variants in BRCA1 and BRCA2 "coldspots". Genetics in medicine : official journal of the American College of Medical Genetics. 2020.</w:t>
      </w:r>
    </w:p>
    <w:p>
      <w:pPr>
        <w:jc w:val="both"/>
      </w:pPr>
      <w:r>
        <w:rPr>
          <w:rFonts w:ascii="Times New Roman" w:hAnsi="Times New Roman"/>
          <w:sz w:val="24"/>
        </w:rPr>
        <w:t>Evangelista, FA.; Batista, VS.. Editorial: Quantum Computing for Chemistry. Journal of chemical theory and computation. 2023.</w:t>
      </w:r>
    </w:p>
    <w:p>
      <w:pPr>
        <w:jc w:val="both"/>
      </w:pPr>
      <w:r>
        <w:rPr>
          <w:rFonts w:ascii="Times New Roman" w:hAnsi="Times New Roman"/>
          <w:sz w:val="24"/>
        </w:rPr>
        <w:t>Ghazi Vakili, M.; Gorgulla, C.; Snider, J.; Nigam, A.; Bezrukov, D.; Varoli, D.; Aliper, A.; Polykovsky, D.; Padmanabha Das, KM.; Cox Iii, H.; Lyakisheva, A.; Hosseini Mansob, A.; Yao, Z.; Bitar, L.; Tahoulas, D.; Čerina, D.; Radchenko, E.; Ding, X.; Liu, J.; Meng, F.; Ren, F.; Cao, Y.; Stagljar, I.; Aspuru-Guzik, A.; Zhavoronkov, A.. Quantum-computing-enhanced algorithm unveils potential KRAS inhibitors. Nature biotechnology. 2025.</w:t>
      </w:r>
    </w:p>
    <w:p>
      <w:pPr>
        <w:jc w:val="both"/>
      </w:pPr>
      <w:r>
        <w:rPr>
          <w:rFonts w:ascii="Times New Roman" w:hAnsi="Times New Roman"/>
          <w:sz w:val="24"/>
        </w:rPr>
        <w:t>Hu, C.; Susswein, LR.; Roberts, ME.; Yang, H.; Marshall, ML.; Hiraki, S.; Berkofsky-Fessler, W.; Gupta, S.; Shen, W.; Dunn, CA.; Huang, H.; Na, J.; Domchek, SM.; Yadav, S.; Monteiro, ANA.; Polley, EC.; Hart, SN.; Hruska, KS.; Couch, FJ.. Classification of BRCA2 Variants of Uncertain Significance (VUS) Using an ACMG/AMP Model Incorporating a Homology-Directed Repair (HDR) Functional Assay. Clinical cancer research : an official journal of the American Association for Cancer Research. 2022.</w:t>
      </w:r>
    </w:p>
    <w:p>
      <w:pPr>
        <w:jc w:val="both"/>
      </w:pPr>
      <w:r>
        <w:rPr>
          <w:rFonts w:ascii="Times New Roman" w:hAnsi="Times New Roman"/>
          <w:sz w:val="24"/>
        </w:rPr>
        <w:t>Li, H.; LaDuca, H.; Pesaran, T.; Chao, EC.; Dolinsky, JS.; Parsons, M.; Spurdle, AB.; Polley, EC.; Shimelis, H.; Hart, SN.; Hu, C.; Couch, FJ.; Goldgar, DE.. Classification of variants of uncertain significance in BRCA1 and BRCA2 using personal and family history of cancer from individuals in a large hereditary cancer multigene panel testing cohort. Genetics in medicine : official journal of the American College of Medical Genetics. 2020.</w:t>
      </w:r>
    </w:p>
    <w:p>
      <w:pPr>
        <w:jc w:val="both"/>
      </w:pPr>
      <w:r>
        <w:rPr>
          <w:rFonts w:ascii="Times New Roman" w:hAnsi="Times New Roman"/>
          <w:sz w:val="24"/>
        </w:rPr>
        <w:t>Lim, H.; Kang, DH.; Kim, J.; Pellow-Jarman, A.; McFarthing, S.; Pellow-Jarman, R.; Jeon, HN.; Oh, B.; Rhee, JK.; No, KT.. Fragment molecular orbital-based variational quantum eigensolver for quantum chemistry in the age of quantum computing. Scientific reports. 2024.</w:t>
      </w:r>
    </w:p>
    <w:p>
      <w:pPr>
        <w:jc w:val="both"/>
      </w:pPr>
      <w:r>
        <w:rPr>
          <w:rFonts w:ascii="Times New Roman" w:hAnsi="Times New Roman"/>
          <w:sz w:val="24"/>
        </w:rPr>
        <w:t>Lindor, NM.; Guidugli, L.; Wang, X.; Vallée, MP.; Monteiro, AN.; Tavtigian, S.; Goldgar, DE.; Couch, FJ.. A review of a multifactorial probability-based model for classification of BRCA1 and BRCA2 variants of uncertain significance (VUS). Human mutation. 2012.</w:t>
      </w:r>
    </w:p>
    <w:p>
      <w:pPr>
        <w:jc w:val="both"/>
      </w:pPr>
      <w:r>
        <w:rPr>
          <w:rFonts w:ascii="Times New Roman" w:hAnsi="Times New Roman"/>
          <w:sz w:val="24"/>
        </w:rPr>
        <w:t>Ma, H.; Liu, J.; Shang, H.; Fan, Y.; Li, Z.; Yang, J.. Multiscale quantum algorithms for quantum chemistry. Chemical science. 2023.</w:t>
      </w:r>
    </w:p>
    <w:p>
      <w:pPr>
        <w:jc w:val="both"/>
      </w:pPr>
      <w:r>
        <w:rPr>
          <w:rFonts w:ascii="Times New Roman" w:hAnsi="Times New Roman"/>
          <w:sz w:val="24"/>
        </w:rPr>
        <w:t>Pal, S.; Bhattacharya, M.; Lee, SS.; Chakraborty, C.. Quantum Computing in the Next-Generation Computational Biology Landscape: From Protein Folding to Molecular Dynamics. Molecular biotechnology. 2024.</w:t>
      </w:r>
    </w:p>
    <w:p>
      <w:pPr>
        <w:jc w:val="both"/>
      </w:pPr>
      <w:r>
        <w:rPr>
          <w:rFonts w:ascii="Times New Roman" w:hAnsi="Times New Roman"/>
          <w:sz w:val="24"/>
        </w:rPr>
        <w:t>Parsons, MT.; de la Hoya, M.; Richardson, ME.; Tudini, E.; Anderson, M.; Berkofsky-Fessler, W.; Caputo, SM.; Chan, RC.; Cline, MS.; Feng, BJ.; Fortuno, C.; Gomez-Garcia, E.; Hadler, J.; Hiraki, S.; Holdren, M.; Houdayer, C.; Hruska, K.; James, P.; Karam, R.; Leong, HS.; Martins, A.; Mensenkamp, AR.; Monteiro, AN.; Nathan, V.; O'Connor, R.; Pedersen, IS.; Pesaran, T.; Radice, P.; Schmidt, G.; Southey, M.; Tavtigian, S.; Thompson, BA.; Toland, AE.; Turnbull, C.; Vogel, MJ.; Weyandt, J.; Wiggins, GAR.; Zec, L.; Couch, FJ.; Walker, LC.; Vreeswijk, MPG.; Goldgar, DE.; Spurdle, AB.. Evidence-based recommendations for gene-specific ACMG/AMP variant classification from the ClinGen ENIGMA BRCA1 and BRCA2 Variant Curation Expert Panel. American journal of human genetics. 2024.</w:t>
      </w:r>
    </w:p>
    <w:p>
      <w:pPr>
        <w:jc w:val="both"/>
      </w:pPr>
      <w:r>
        <w:rPr>
          <w:rFonts w:ascii="Times New Roman" w:hAnsi="Times New Roman"/>
          <w:sz w:val="24"/>
        </w:rPr>
        <w:t>Richardson, ME.; Hu, C.; Lee, KY.; LaDuca, H.; Fulk, K.; Durda, KM.; Deckman, AM.; Goldgar, DE.; Monteiro, ANA.; Gnanaolivu, R.; Hart, SN.; Polley, EC.; Chao, E.; Pesaran, T.; Couch, FJ.. Strong functional data for pathogenicity or neutrality classify BRCA2 DNA-binding-domain variants of uncertain significance. American journal of human genetics. 2021.</w:t>
      </w:r>
    </w:p>
    <w:p>
      <w:pPr>
        <w:jc w:val="both"/>
      </w:pPr>
      <w:r>
        <w:rPr>
          <w:rFonts w:ascii="Times New Roman" w:hAnsi="Times New Roman"/>
          <w:sz w:val="24"/>
        </w:rPr>
        <w:t>Sahu, S.; Galloux, M.; Southon, E.; Caylor, D.; Sullivan, T.; Arnaudi, M.; Zanti, M.; Geh, J.; Chari, R.; Michailidou, K.; Papaleo, E.; Sharan, SK.. Saturation genome editing-based clinical classification of BRCA2 variants. Nature. 2025.</w:t>
      </w:r>
    </w:p>
    <w:p>
      <w:pPr>
        <w:jc w:val="both"/>
      </w:pPr>
      <w:r>
        <w:rPr>
          <w:rFonts w:ascii="Times New Roman" w:hAnsi="Times New Roman"/>
          <w:sz w:val="24"/>
        </w:rPr>
        <w:t>Singh, D.. Quantum Computing Assays: Advancing Drug Metabolism Studies and Drug Delivery Design. Drug metabolism and bioanalysis letters. 2024.</w:t>
      </w:r>
    </w:p>
    <w:p>
      <w:pPr>
        <w:jc w:val="both"/>
      </w:pPr>
      <w:r>
        <w:rPr>
          <w:rFonts w:ascii="Times New Roman" w:hAnsi="Times New Roman"/>
          <w:sz w:val="24"/>
        </w:rPr>
        <w:t>Tsaousis, GN.; Papadopoulou, E.; Apessos, A.; Agiannitopoulos, K.; Pepe, G.; Kampouri, S.; Diamantopoulos, N.; Floros, T.; Iosifidou, R.; Katopodi, O.; Koumarianou, A.; Markopoulos, C.; Papazisis, K.; Venizelos, V.; Xanthakis, I.; Xepapadakis, G.; Banu, E.; Eniu, DT.; Negru, S.; Stanculeanu, DL.; Ungureanu, A.; Ozmen, V.; Tansan, S.; Tekinel, M.; Yalcin, S.; Nasioulas, G.. Analysis of hereditary cancer syndromes by using a panel of genes: novel and multiple pathogenic mutations. BMC cancer. 2019.</w:t>
      </w:r>
    </w:p>
    <w:p>
      <w:pPr>
        <w:jc w:val="both"/>
      </w:pPr>
      <w:r>
        <w:rPr>
          <w:rFonts w:ascii="Times New Roman" w:hAnsi="Times New Roman"/>
          <w:sz w:val="24"/>
        </w:rPr>
        <w:t>Uttarkar, A.; Niranjan, V.. Quantum synergy in peptide folding: A comparative study of CVaR-variational quantum eigensolver and molecular dynamics simulation. International journal of biological macromolecules. 2024.</w:t>
      </w:r>
    </w:p>
    <w:p>
      <w:pPr>
        <w:jc w:val="both"/>
      </w:pPr>
      <w:r>
        <w:rPr>
          <w:rFonts w:ascii="Times New Roman" w:hAnsi="Times New Roman"/>
          <w:sz w:val="24"/>
        </w:rPr>
        <w:t>Wang, H.; Cimen, E.; Singh, N.; Buckler, E.. Deep learning for plant genomics and crop improvement. Current opinion in plant biology. 2020.</w:t>
      </w:r>
    </w:p>
    <w:p>
      <w:pPr>
        <w:jc w:val="both"/>
      </w:pPr>
      <w:r>
        <w:rPr>
          <w:rFonts w:ascii="Times New Roman" w:hAnsi="Times New Roman"/>
          <w:sz w:val="24"/>
        </w:rPr>
        <w:t>Watson, DS.. Interpretable machine learning for genomics. Human genetics. 2022.</w:t>
      </w:r>
    </w:p>
    <w:p>
      <w:pPr>
        <w:jc w:val="both"/>
      </w:pPr>
      <w:r>
        <w:rPr>
          <w:rFonts w:ascii="Times New Roman" w:hAnsi="Times New Roman"/>
          <w:sz w:val="24"/>
        </w:rPr>
        <w:t>Xiong, HY.; Alipanahi, B.; Lee, LJ.; Bretschneider, H.; Merico, D.; Yuen, RK.; Hua, Y.; Gueroussov, S.; Najafabadi, HS.; Hughes, TR.; Morris, Q.; Barash, Y.; Krainer, AR.; Jojic, N.; Scherer, SW.; Blencowe, BJ.; Frey, BJ.. RNA splicing. The human splicing code reveals new insights into the genetic determinants of disease. Science (New York, N.Y.). 2015.</w:t>
      </w:r>
    </w:p>
    <w:p>
      <w:pPr>
        <w:jc w:val="both"/>
      </w:pPr>
      <w:r>
        <w:rPr>
          <w:rFonts w:ascii="Times New Roman" w:hAnsi="Times New Roman"/>
          <w:sz w:val="24"/>
        </w:rPr>
        <w:t>Yurgelun, MB.; Allen, B.; Kaldate, RR.; Bowles, KR.; Judkins, T.; Kaushik, P.; Roa, BB.; Wenstrup, RJ.; Hartman, AR.; Syngal, S.. Identification of a Variety of Mutations in Cancer Predisposition Genes in Patients With Suspected Lynch Syndrome. Gastroenterology. 2015.</w:t>
      </w:r>
    </w:p>
    <w:p>
      <w:pPr>
        <w:jc w:val="both"/>
      </w:pPr>
      <w:r>
        <w:rPr>
          <w:rFonts w:ascii="Times New Roman" w:hAnsi="Times New Roman"/>
          <w:sz w:val="24"/>
        </w:rPr>
        <w:t>Zou, J.; Huss, M.; Abid, A.; Mohammadi, P.; Torkamani, A.; Telenti, A.. A primer on deep learning in genomics. Nature genetics. 2019.</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