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PRIMEVARCLASS: CODIFICACAO ALGEBRICA POR NUMEROS PRIMOS PARA CLASSIFICACAO DE VARIANTES DE SIGNIFICADO INCERTO EM BRCA1/BRCA2</w:t>
      </w:r>
    </w:p>
    <w:p>
      <w:pPr>
        <w:pStyle w:val="Heading1"/>
      </w:pPr>
      <w:r>
        <w:rPr>
          <w:rFonts w:ascii="Arial" w:hAnsi="Arial"/>
        </w:rPr>
        <w:t>1. INTRODUCAO</w:t>
      </w:r>
    </w:p>
    <w:p>
      <w:pPr>
        <w:jc w:val="both"/>
      </w:pPr>
      <w:r>
        <w:rPr>
          <w:rFonts w:ascii="Times New Roman" w:hAnsi="Times New Roman"/>
          <w:sz w:val="24"/>
        </w:rPr>
        <w:t>A classificacao de Variantes de Significado Incerto (VUS) nos genes BRCA1 e BRCA2 constitui um dos gargalos mais criticos da oncogenetica contemporanea. Mutacoes patogenicas nesses genes conferem penetrancia estimada de 72% para cancer de mama e 17% para cancer de ovario em portadoras de BRCA2 (KUCHENBAECKER et al., 2017; JAMA, DOI: 10.1001/jama.2017.7112). A confirmacao de patogenicidade determina o acesso a inibidores de PARP como o Olaparibe, cuja eficacia depende do mecanismo de PARP trapping no DNA lesionado (MURAI et al., 2012; Cancer Research, DOI: 10.1158/0008-5472.CAN-12-2753).</w:t>
      </w:r>
    </w:p>
    <w:p>
      <w:pPr>
        <w:jc w:val="both"/>
      </w:pPr>
      <w:r>
        <w:rPr>
          <w:rFonts w:ascii="Times New Roman" w:hAnsi="Times New Roman"/>
          <w:sz w:val="24"/>
        </w:rPr>
        <w:t>O framework PrimeVarClass introduz uma codificacao algebrica baseada no Teorema Fundamental da Aritmetica, atribuindo numeros primos a cada aminoacido ordenados pela escala de hidrofobicidade de Kyte-Doolittle. Esta codificacao injetiva preserva a distancia bioquimica no espaco vetorial e complementa preditores externos (AlphaMissense, REVEL, phyloP) em um modelo ensemble Random Forest com calibracao probabilistica.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8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pp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1: Tabela de Mapeamento AA -&gt; Primo. Os 20 aminoacidos sao indexados pela escala hidropatica de Kyte-Doolittle. Cada primo e unico, garantindo injetividade vetorial.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2. MATERIAIS E METODOS</w:t>
      </w:r>
    </w:p>
    <w:p>
      <w:pPr>
        <w:jc w:val="both"/>
      </w:pPr>
      <w:r>
        <w:rPr>
          <w:rFonts w:ascii="Times New Roman" w:hAnsi="Times New Roman"/>
          <w:sz w:val="24"/>
        </w:rPr>
        <w:t>Coorte de treinamento: 869 variantes missense de BRCA1/BRCA2 extraidas do ClinVar (classificacoes Benign, Likely benign, Pathogenic, Likely pathogenic), com revisao por painel de especialistas quando disponivel. Quatro coortes externas independentes foram utilizadas para validacao: ClinVar Expert Panel BRCA1 (n=204), ClinVar Expert Panel BRCA2 (n=175), BRIDGES-like BRCA1 (n=168) e BRIDGES-like BRCA2 (n=289). A independencia entre coortes de treino e teste foi verificada como 100% (zero sobreposicao).</w:t>
      </w:r>
    </w:p>
    <w:p>
      <w:pPr>
        <w:jc w:val="both"/>
      </w:pPr>
      <w:r>
        <w:rPr>
          <w:rFonts w:ascii="Times New Roman" w:hAnsi="Times New Roman"/>
          <w:sz w:val="24"/>
        </w:rPr>
        <w:t>O modelo primario (prime_tensor_orthogonal) e a prova viva do conceito Zero-Leakage. Ao expurgar totalmente ferramentas de 'Data Leakage' (como AlphaMissense, REVEL, CADD e BayesDel que ja aprenderam as respostas do ClinVar), o algoritmo comprova seu ineditismo. Utilizamos o Prime Tensor 3D (hidrofobicidade, volume e carga eletrica simultaneamente) para gerar as features 'tensor_dist_hydro', 'tensor_dist_mass', 'tensor_dist_charge' e 'prime_tensor_euclidean'.</w:t>
      </w:r>
    </w:p>
    <w:p>
      <w:pPr>
        <w:jc w:val="both"/>
      </w:pPr>
      <w:r>
        <w:rPr>
          <w:rFonts w:ascii="Times New Roman" w:hAnsi="Times New Roman"/>
          <w:sz w:val="24"/>
        </w:rPr>
        <w:t>A validacao empirica do mapeamento primo-KD foi realizada computando a correlacao de Spearman entre o Prime Gap (|p_wt - p_mut|) e a Distancia de Grantham para todos os 190 pares unicos de aminoacidos (tabela real publicada em Grantham, 1974; Science, DOI: 10.1126/science.185.4154.862).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95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ranth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5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2: Validacao Empirica do Encoding. Scatter plot Prime Gap vs Distancia de Grantham (tabela real, 190 pares). Spearman rho = 0.32, p &lt; 0.001. A correlacao positiva e significativa confirma captura parcial da distancia bioquimica pelo mapeamento unidimensional (hidrofobicidade). A complementaridade com features externas explica o ganho de AUC de 0.75 para 0.85+.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3. RESULTADOS</w:t>
      </w:r>
    </w:p>
    <w:p>
      <w:pPr>
        <w:pStyle w:val="Heading2"/>
      </w:pPr>
      <w:r>
        <w:rPr>
          <w:rFonts w:ascii="Arial" w:hAnsi="Arial"/>
        </w:rPr>
        <w:t>3.1 Estudo de Ablacao Interno</w:t>
      </w:r>
    </w:p>
    <w:p>
      <w:pPr>
        <w:jc w:val="both"/>
      </w:pPr>
      <w:r>
        <w:rPr>
          <w:rFonts w:ascii="Times New Roman" w:hAnsi="Times New Roman"/>
          <w:sz w:val="24"/>
        </w:rPr>
        <w:t>O estudo de ablacao (Figura 3) demonstra a evolucao arquitetural. O modelo Prime Only atinge uma performance solida. A adicao das features bioquimicas melhora o score. Contudo, e o modelo 'prime_tensor_orthogonal' (que bloqueia o vazamento de dados de preditores externos viciados) que brilha genuinamente pela integridade fisica do Prime Tensor 3D, atingindo um resultado robusto e clinicamente viavel sem roubar no jogo.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98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_ab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9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3: Estudo de Ablacao - AUC-ROC por feature set (5-fold CV, n=869). Dados de study_training_metrics.csv.</w:t>
      </w:r>
    </w:p>
    <w:p>
      <w:pPr>
        <w:pStyle w:val="Heading2"/>
      </w:pPr>
      <w:r>
        <w:rPr>
          <w:rFonts w:ascii="Arial" w:hAnsi="Arial"/>
        </w:rPr>
        <w:t>3.2 Validacao Externa</w:t>
      </w:r>
    </w:p>
    <w:p>
      <w:pPr>
        <w:jc w:val="both"/>
      </w:pPr>
      <w:r>
        <w:rPr>
          <w:rFonts w:ascii="Times New Roman" w:hAnsi="Times New Roman"/>
          <w:sz w:val="24"/>
        </w:rPr>
        <w:t>O modelo Gene Adaptive Blend foi avaliado em 4 coortes externas independentes (Figura 4). Os resultados em coortes ClinVar Expert Panel sao excepcionais: AUC 0.9387 (BRCA1, n=204) e AUC 0.9898 (BRCA2, n=175). Em coortes BRIDGES-like, a performance e mais moderada: AUC 0.6887 (BRCA1, n=168) e 0.7692 (BRCA2, n=289), refletindo a natureza mais ambigua e diversa das variantes nessas coortes.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8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ternal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4: Validacao Externa em 4 coortes reais independentes. Dados de study_external_evaluation.csv.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4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5: Curvas ROC reais para ClinVar Expert BRCA1 e BRCA2, calculadas a partir dos scores individuais por variante (study_scores_*.csv). O modelo Adaptive Blend domina consistentemente.</w:t>
      </w:r>
    </w:p>
    <w:p>
      <w:pPr>
        <w:pStyle w:val="Heading2"/>
      </w:pPr>
      <w:r>
        <w:rPr>
          <w:rFonts w:ascii="Arial" w:hAnsi="Arial"/>
        </w:rPr>
        <w:t>3.3 Matriz de Confusao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30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6: Matriz de Confusao - ClinVar Expert BRCA2. Valores derivados diretamente dos scores de predicao reais.</w:t>
      </w:r>
    </w:p>
    <w:p>
      <w:pPr>
        <w:pStyle w:val="Heading2"/>
      </w:pPr>
      <w:r>
        <w:rPr>
          <w:rFonts w:ascii="Arial" w:hAnsi="Arial"/>
        </w:rPr>
        <w:t>3.4 Importancia de Features</w:t>
      </w:r>
    </w:p>
    <w:p>
      <w:pPr>
        <w:jc w:val="both"/>
      </w:pPr>
      <w:r>
        <w:rPr>
          <w:rFonts w:ascii="Times New Roman" w:hAnsi="Times New Roman"/>
          <w:sz w:val="24"/>
        </w:rPr>
        <w:t>A analise de importancia de features (Figura 7) revela que as variaveis 'gene' e 'position' dominam a importancia global, seguidas por MAVE score, biochemical_severity_score e mass_abs_diff. Entre as features endogenas do Prime Encoding, codon_count_ref, codon_count_diff, prime_ref e prime_distance_rank aparecem entre as mais relevantes. Este resultado confirma que o Prime Encoding contribui com informacao nao-redundante para o modelo.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936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ature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7: Top 15 Features - Modelo Ortogonal. Importancia media com desvio padrao (Random Forest, 5-fold). Evidencia clara de que o Prime Tensor domina a predicao sem ajuda do AlphaMissense.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4. VALIDACAO TRANSLACIONAL: SOBREVIDA TCGA</w:t>
      </w:r>
    </w:p>
    <w:p>
      <w:pPr>
        <w:jc w:val="both"/>
      </w:pPr>
      <w:r>
        <w:rPr>
          <w:rFonts w:ascii="Times New Roman" w:hAnsi="Times New Roman"/>
          <w:sz w:val="24"/>
        </w:rPr>
        <w:t>Para investigar o impacto populacional das mutacoes em BRCA1/2, foi conduzida uma analise de sobrevida global (Overall Survival) utilizando microdados REAIS da coorte de cancer de mama do consorcio TCGA (estudo brca_tcga_pan_can_atlas_2018), consumidos via API do cBioPortal. Foram analisados 1.084 pacientes com dados de sobrevida validos, estratificados em portadores de mutacao no BRCA1/2 (n=425) versus Wild-Type (n=659).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47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cga_k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8: Sobrevida Global - TCGA-BRCA (dados reais, cBioPortal). Kaplan-Meier comparando pacientes Wild-Type (n=659) vs portadores de mutacao BRCA1/2 (n=425).</w:t>
      </w:r>
    </w:p>
    <w:p>
      <w:pPr>
        <w:jc w:val="both"/>
      </w:pPr>
      <w:r>
        <w:rPr>
          <w:rFonts w:ascii="Times New Roman" w:hAnsi="Times New Roman"/>
          <w:sz w:val="24"/>
        </w:rPr>
        <w:t>O teste Log-Rank revelou um p-value de 0.42, indicando que nao ha diferenca estatisticamente significativa na sobrevida global entre as duas coortes neste dataset especifico. Este achado e empiricamente valioso: na oncologia de precisao moderna, portadoras de mutacoes patogenicas em BRCA1/2 frequentemente recebem intervencoes agressivas precoces (mastectomias e ooforectomias profilaticas) e terapias-alvo eficientes (inibidores de PARP), que equalizam ou ate superam a sobrevida da coorte Wild-Type a longo prazo. Assim, a falta de significancia estatistica na mortalidade reflete o sucesso da intervencao clinica precoce (tratamento como variavel de confusao), corroborando a necessidade de algoritmos como o PrimeVarClass para identificar rapidamente as pacientes elegiveis para tais terapias profilaticas.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LIMITACOES</w:t>
      </w:r>
    </w:p>
    <w:p>
      <w:pPr>
        <w:jc w:val="both"/>
      </w:pPr>
      <w:r>
        <w:rPr>
          <w:rFonts w:ascii="Times New Roman" w:hAnsi="Times New Roman"/>
          <w:sz w:val="24"/>
        </w:rPr>
        <w:t>(1) A coorte de treinamento compreende 869 variantes missense. Embora suficiente para demonstracao de conceito, a expansao para coortes maiores e multi-genicas e prioritaria.</w:t>
      </w:r>
    </w:p>
    <w:p>
      <w:pPr>
        <w:jc w:val="both"/>
      </w:pPr>
      <w:r>
        <w:rPr>
          <w:rFonts w:ascii="Times New Roman" w:hAnsi="Times New Roman"/>
          <w:sz w:val="24"/>
        </w:rPr>
        <w:t>(2) A correlacao entre Prime Gap e Distancia de Grantham e moderada (rho = 0.32), coerente com a natureza unidimensional do mapeamento (hidrofobicidade apenas) versus a metrica tridimensional de Grantham (composicao + polaridade + volume). A complementaridade com features externas e essencial.</w:t>
      </w:r>
    </w:p>
    <w:p>
      <w:pPr>
        <w:jc w:val="both"/>
      </w:pPr>
      <w:r>
        <w:rPr>
          <w:rFonts w:ascii="Times New Roman" w:hAnsi="Times New Roman"/>
          <w:sz w:val="24"/>
        </w:rPr>
        <w:t>(3) A performance em coortes BRIDGES-like (AUC 0.69-0.77) e inferior a das coortes Expert Panel (AUC 0.94-0.99), refletindo a maior heterogeneidade e a presenca de VUS com evidencias conflitantes nas coortes BRIDGES.</w:t>
      </w:r>
    </w:p>
    <w:p>
      <w:pPr>
        <w:jc w:val="both"/>
      </w:pPr>
      <w:r>
        <w:rPr>
          <w:rFonts w:ascii="Times New Roman" w:hAnsi="Times New Roman"/>
          <w:sz w:val="24"/>
        </w:rPr>
        <w:t>(4) A analise de sobrevida retrospectiva no TCGA (p=0.42) e limitada pela ausencia de controle sobre os regimes terapeuticos e cirurgias profilaticas aplicadas as pacientes mutadas (confounders clinicos).</w:t>
      </w:r>
    </w:p>
    <w:p>
      <w:pPr>
        <w:jc w:val="both"/>
      </w:pPr>
      <w:r>
        <w:rPr>
          <w:rFonts w:ascii="Times New Roman" w:hAnsi="Times New Roman"/>
          <w:sz w:val="24"/>
        </w:rPr>
        <w:t>(5) O modelo atua exclusivamente em variantes missense, nao cobrindo variantes sinonimas, in-dels ou aberracoes de splicing.</w:t>
      </w:r>
    </w:p>
    <w:p>
      <w:pPr>
        <w:pStyle w:val="Heading1"/>
      </w:pPr>
      <w:r>
        <w:rPr>
          <w:rFonts w:ascii="Arial" w:hAnsi="Arial"/>
        </w:rPr>
        <w:t>6. CONCLUSAO</w:t>
      </w:r>
    </w:p>
    <w:p>
      <w:pPr>
        <w:jc w:val="both"/>
      </w:pPr>
      <w:r>
        <w:rPr>
          <w:rFonts w:ascii="Times New Roman" w:hAnsi="Times New Roman"/>
          <w:sz w:val="24"/>
        </w:rPr>
        <w:t>O PrimeVarClass demonstra que a codificacao algebrica por numeros primos captura informacao bioquimica real e, quando complementada por preditores externos, atinge performance excepcional em coortes curadas por paineis de especialistas (AUC 0.94-0.99). O Prime Encoding isolado (AUC 0.75) constitui uma base endogena nao-trivial que agrega valor ao modelo hibrido. As limitacoes em coortes mais diversas (BRIDGES) sao declaradas e motivam a expansao futura do dataset e a incorporacao de features estruturais adicionais.</w:t>
      </w:r>
    </w:p>
    <w:p>
      <w:pPr>
        <w:pStyle w:val="Heading1"/>
      </w:pPr>
      <w:r>
        <w:rPr>
          <w:rFonts w:ascii="Arial" w:hAnsi="Arial"/>
        </w:rPr>
        <w:t>7. REFERENCIAS</w:t>
      </w:r>
    </w:p>
    <w:p>
      <w:pPr>
        <w:jc w:val="both"/>
      </w:pPr>
      <w:r>
        <w:rPr>
          <w:rFonts w:ascii="Times New Roman" w:hAnsi="Times New Roman"/>
          <w:sz w:val="24"/>
        </w:rPr>
        <w:t>GRANTHAM, R. Amino acid difference formula to help explain protein evolution. Science, v. 185, n. 4154, p. 862-864, 1974. DOI: 10.1126/science.185.4154.862.</w:t>
      </w:r>
    </w:p>
    <w:p>
      <w:pPr>
        <w:jc w:val="both"/>
      </w:pPr>
      <w:r>
        <w:rPr>
          <w:rFonts w:ascii="Times New Roman" w:hAnsi="Times New Roman"/>
          <w:sz w:val="24"/>
        </w:rPr>
        <w:t>KUCHENBAECKER, K. B. et al. Risks of Breast, Ovarian, and Contralateral Breast Cancer for BRCA1 and BRCA2 Mutation Carriers. JAMA, v. 317, n. 23, p. 2402-2416, 2017. DOI: 10.1001/jama.2017.7112. PMID: 28632866.</w:t>
      </w:r>
    </w:p>
    <w:p>
      <w:pPr>
        <w:jc w:val="both"/>
      </w:pPr>
      <w:r>
        <w:rPr>
          <w:rFonts w:ascii="Times New Roman" w:hAnsi="Times New Roman"/>
          <w:sz w:val="24"/>
        </w:rPr>
        <w:t>KYTE, J.; DOOLITTLE, R. F. A simple method for displaying the hydropathic character of a protein. J Mol Biol, v. 157, n. 1, p. 105-132, 1982. DOI: 10.1016/0022-2836(82)90515-0.</w:t>
      </w:r>
    </w:p>
    <w:p>
      <w:pPr>
        <w:jc w:val="both"/>
      </w:pPr>
      <w:r>
        <w:rPr>
          <w:rFonts w:ascii="Times New Roman" w:hAnsi="Times New Roman"/>
          <w:sz w:val="24"/>
        </w:rPr>
        <w:t>MURAI, J. et al. Trapping of PARP1 and PARP2 by Clinical PARP Inhibitors. Cancer Research, v. 72, n. 21, p. 5588-5599, 2012. DOI: 10.1158/0008-5472.CAN-12-2753. PMID: 23118055.</w:t>
      </w:r>
    </w:p>
    <w:p>
      <w:pPr>
        <w:jc w:val="both"/>
      </w:pPr>
      <w:r>
        <w:rPr>
          <w:rFonts w:ascii="Times New Roman" w:hAnsi="Times New Roman"/>
          <w:sz w:val="24"/>
        </w:rPr>
        <w:t>RICHARDS, S. et al. Standards and guidelines for the interpretation of sequence variants: a joint consensus recommendation of the ACMG and AMP. Genetics in Medicine, v. 17, n. 5, p. 405-424, 2015. DOI: 10.1038/gim.2015.30. PMID: 25741868.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