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rPr>
        <w:t>WESLEY CAPUCHO</w:t>
      </w:r>
    </w:p>
    <w:p/>
    <w:p/>
    <w:p/>
    <w:p/>
    <w:p/>
    <w:p/>
    <w:p/>
    <w:p/>
    <w:p/>
    <w:p/>
    <w:p>
      <w:pPr>
        <w:ind w:firstLine="0"/>
        <w:jc w:val="center"/>
      </w:pPr>
      <w:r>
        <w:rPr>
          <w:b/>
        </w:rPr>
        <w:t>PRIMEVARCLASS: CLASSIFICAÇÃO GENÔMICA DE VARIANTES DE SIGNIFICADO INCERTO NO BRCA1/BRCA2 VIA PRIME ENCODING E GRADIENT BOOSTING</w:t>
      </w:r>
    </w:p>
    <w:p/>
    <w:p/>
    <w:p/>
    <w:p/>
    <w:p/>
    <w:p/>
    <w:p/>
    <w:p/>
    <w:p/>
    <w:p/>
    <w:p/>
    <w:p/>
    <w:p>
      <w:pPr>
        <w:ind w:firstLine="0"/>
        <w:jc w:val="center"/>
      </w:pPr>
      <w:r>
        <w:t>SÃO PAULO</w:t>
        <w:br/>
        <w:t>2026</w:t>
      </w:r>
    </w:p>
    <w:p>
      <w:r>
        <w:br w:type="page"/>
      </w:r>
    </w:p>
    <w:p/>
    <w:p/>
    <w:p/>
    <w:p>
      <w:pPr>
        <w:ind w:firstLine="0"/>
        <w:jc w:val="center"/>
      </w:pPr>
      <w:r>
        <w:rPr>
          <w:b/>
        </w:rPr>
        <w:t>WESLEY CAPUCHO</w:t>
      </w:r>
    </w:p>
    <w:p/>
    <w:p/>
    <w:p/>
    <w:p/>
    <w:p/>
    <w:p/>
    <w:p/>
    <w:p/>
    <w:p>
      <w:pPr>
        <w:ind w:firstLine="0"/>
        <w:jc w:val="center"/>
      </w:pPr>
      <w:r>
        <w:rPr>
          <w:b/>
        </w:rPr>
        <w:t>PRIMEVARCLASS: CLASSIFICAÇÃO GENÔMICA DE VARIANTES DE SIGNIFICADO INCERTO NO BRCA1/BRCA2 VIA PRIME ENCODING E GRADIENT BOOSTING</w:t>
      </w:r>
    </w:p>
    <w:p/>
    <w:p/>
    <w:p/>
    <w:p/>
    <w:p>
      <w:pPr>
        <w:ind w:left="4535" w:firstLine="0"/>
        <w:jc w:val="both"/>
      </w:pPr>
      <w:r>
        <w:t>Artigo científico e manuscrito metodológico detalhado (Tese) submetido como requisito e demonstração técnica da prova de conceito da Inteligência Artificial PrimeVarClass.</w:t>
      </w:r>
    </w:p>
    <w:p/>
    <w:p/>
    <w:p/>
    <w:p/>
    <w:p/>
    <w:p/>
    <w:p/>
    <w:p/>
    <w:p/>
    <w:p/>
    <w:p>
      <w:pPr>
        <w:ind w:firstLine="0"/>
        <w:jc w:val="center"/>
      </w:pPr>
      <w:r>
        <w:t>SÃO PAULO</w:t>
        <w:br/>
        <w:t>2026</w:t>
      </w:r>
    </w:p>
    <w:p>
      <w:r>
        <w:br w:type="page"/>
      </w:r>
    </w:p>
    <w:p>
      <w:pPr>
        <w:spacing w:before="360" w:after="240"/>
        <w:ind w:firstLine="0"/>
        <w:jc w:val="left"/>
      </w:pPr>
      <w:r>
        <w:rPr>
          <w:b/>
          <w:sz w:val="28"/>
        </w:rPr>
        <w:t>PrimeVarClass: Classificação Genômica de VUS no BRCA1/BRCA2 via Prime Encoding e Gradient Boosting</w:t>
      </w:r>
    </w:p>
    <w:p>
      <w:pPr>
        <w:spacing w:before="360" w:after="240"/>
        <w:ind w:firstLine="0"/>
        <w:jc w:val="left"/>
      </w:pPr>
      <w:r>
        <w:rPr>
          <w:b/>
          <w:sz w:val="28"/>
        </w:rPr>
        <w:t>Apresentação</w:t>
      </w:r>
    </w:p>
    <w:p>
      <w:pPr>
        <w:spacing w:before="360" w:after="240"/>
        <w:ind w:firstLine="0"/>
        <w:jc w:val="left"/>
      </w:pPr>
      <w:r>
        <w:rPr>
          <w:b/>
          <w:sz w:val="28"/>
        </w:rPr>
        <w:t>Resumo</w:t>
      </w:r>
    </w:p>
    <w:p>
      <w:r>
        <w:t>O câncer de mama hereditário, primariamente associado a variantes patogênicas nos genes supressores de tumor BRCA1 e BRCA2, enfrenta um gargalo clínico, bioético e de saúde pública de magnitude global: a altíssima e crescente incidência de Variantes de Significado Incerto (VUS). A incerteza clínica e o limbo diagnóstico resultantes frequentemente conduzem a desfechos iatrogênicos indesejados e irreversíveis. Por um lado, o receio oncológico motiva intervenções drásticas, como mastectomias profiláticas bilaterais e salpingooforectomias desnecessárias, impactando negativamente a saúde física e mental das pacientes, além de onerar os sistemas de saúde. Por outro lado, a falsa tranquilidade ou o não enquadramento clínico leva à negligência terapêutica, impedindo a adoção de estratégias de rastreio intensificado e bloqueando o acesso a terapias-alvo revolucionárias, como os inibidores de PARP, que dependem da confirmação de deficiência de recombinação homóloga (HRD). Diante desse cenário crítico, este trabalho apresenta o desenvolvimento, a validação e a implementação do **PrimeVarClass**, um Sistema de Suporte à Decisão Clínica (CDSS) inovador projetado para mitigar o problema das VUS. A arquitetura do PrimeVarClass ancora-se em uma abordagem de vanguarda que denominamos *Prime Encoding* (Mapeamento Injetivo com Números Primos), acoplada a um ensemble robusto de algoritmos de aprendizado de máquina, especificamente *Gradient Boosting* (XGBoost) e *Bagging* (Random Forest). O cerne inovador do método reside na conversão determinística e matematicamente biunívoca de sequências de aminoácidos em assinaturas numéricas baseadas em números primos. Este paradigma resolve de maneira definitiva o problema de esparsidade dimensional e colisões vetoriais (Data Sparsity) inerente às abordagens clássicas de processamento de linguagem natural adaptadas à biologia, como o *One-Hot Encoding*. O modelo facilita a extração rigorosa de correlações não-lineares, propriedades termodinâmicas e distâncias físico-químicas em mutações *missense*. Ao ser validado em uma coorte real rigorosa, extraída de bancos de dados clínicos e submetida a rigorosos ensaios de ablação metodológica para prevenir o *Data Leakage* (vazamento de dados), o modelo híbrido demonstrou uma capacidade preditiva de excelência, com Área Sob a Curva ROC (AUC-ROC) de 0,822 em validação cruzada interna. Esse resultado reafirma de forma inequívoca o potencial de sistemas de Inteligência Artificial para auxiliar de maneira objetiva e auditável consórcios internacionais como o ENIGMA na aplicação dos critérios computacionais (PP3 a favor da patogenicidade e BP4 a favor da benignidade) do framework delineado pelo *American College of Medical Genetics and Genomics* (ACMG) e pela *Association for Molecular Pathology* (AMP). Para além das métricas in silico, o artigo aprofunda o impacto socioeconômico sistêmico da resolução de VUS no âmbito do Sistema Único de Saúde (SUS) do Brasil, propondo que a mitigação destas incertezas tem o condão de otimizar radicalmente a gestão de filas para exames de alto custo, como a Ressonância Magnética (RM) mamária, além de promover um acesso mais justo, rápido e embasado cientificamente a tratamentos oncológicos de precisão, ancorados no mecanismo de letalidade sintética celular.</w:t>
      </w:r>
    </w:p>
    <w:p>
      <w:r>
        <w:drawing>
          <wp:inline xmlns:a="http://schemas.openxmlformats.org/drawingml/2006/main" xmlns:pic="http://schemas.openxmlformats.org/drawingml/2006/picture">
            <wp:extent cx="5400000" cy="4320000"/>
            <wp:docPr id="1" name="Picture 1"/>
            <wp:cNvGraphicFramePr>
              <a:graphicFrameLocks noChangeAspect="1"/>
            </wp:cNvGraphicFramePr>
            <a:graphic>
              <a:graphicData uri="http://schemas.openxmlformats.org/drawingml/2006/picture">
                <pic:pic>
                  <pic:nvPicPr>
                    <pic:cNvPr id="0" name="true_api_roc.png"/>
                    <pic:cNvPicPr/>
                  </pic:nvPicPr>
                  <pic:blipFill>
                    <a:blip r:embed="rId9"/>
                    <a:stretch>
                      <a:fillRect/>
                    </a:stretch>
                  </pic:blipFill>
                  <pic:spPr>
                    <a:xfrm>
                      <a:off x="0" y="0"/>
                      <a:ext cx="5400000" cy="4320000"/>
                    </a:xfrm>
                    <a:prstGeom prst="rect"/>
                  </pic:spPr>
                </pic:pic>
              </a:graphicData>
            </a:graphic>
          </wp:inline>
        </w:drawing>
      </w:r>
    </w:p>
    <w:p>
      <w:pPr>
        <w:ind w:firstLine="0"/>
        <w:jc w:val="center"/>
      </w:pPr>
      <w:r>
        <w:t>Figura 2: Curva ROC Empírica Zero-Leakage (K-Fold Espacial). AUC = 0.822.</w:t>
      </w:r>
    </w:p>
    <w:p>
      <w:pPr>
        <w:spacing w:before="360" w:after="240"/>
        <w:ind w:firstLine="0"/>
        <w:jc w:val="left"/>
      </w:pPr>
      <w:r>
        <w:rPr>
          <w:b/>
          <w:sz w:val="28"/>
        </w:rPr>
        <w:t>Abstract</w:t>
      </w:r>
    </w:p>
    <w:p>
      <w:r>
        <w:t>Hereditary breast cancer, primarily associated with pathogenic variants in the BRCA1 and BRCA2 tumor suppressor genes, faces a global clinical, bioethical, and public health bottleneck: the exceedingly high and growing incidence of Variants of Uncertain Significance (VUS). The resulting clinical uncertainty and diagnostic limbo frequently lead to unwanted and irreversible iatrogenic outcomes. On the one hand, oncological anxiety motivates drastic interventions, such as unnecessary bilateral prophylactic mastectomies and salpingo-oophorectomies, negatively impacting the physical and mental health of patients and burdening healthcare systems. On the other hand, false reassurance or lack of clinical framing leads to therapeutic negligence, preventing the adoption of intensified screening strategies and blocking access to revolutionary targeted therapies, such as PARP inhibitors, which depend on the confirmation of homologous recombination deficiency (HRD). Given this critical scenario, this paper presents the development, validation, and implementation of **PrimeVarClass**, an innovative Clinical Decision Support System (CDSS) designed to mitigate the VUS problem. The architecture of PrimeVarClass is anchored in an avant-garde approach we call *Prime Encoding* (Injective Mapping with Prime Numbers), coupled with a robust ensemble of machine learning algorithms, specifically Gradient Boosting (XGBoost) and Bagging (Random Forest). The innovative core of the method lies in the deterministic and mathematically bijective conversion of amino acid sequences into numerical signatures based on prime numbers. This paradigm definitively solves the dimensional sparsity and vectorial collision problem (Data Sparsity) inherent in classical natural language processing approaches adapted to biology, such as One-Hot Encoding. The model facilitates the rigorous extraction of non-linear correlations, thermodynamic properties, and physicochemical distances in missense mutations. Upon validation in a rigorous real-world cohort extracted from clinical databases and subjected to rigorous methodological ablation trials to prevent Data Leakage, the hybrid model demonstrated excellent predictive capacity, with a Receiver Operating Characteristic Area Under the Curve (AUC-ROC) of 0.822 in internal cross-validation. This result unequivocally reaffirms the potential of Artificial Intelligence systems to objectively and auditably assist international consortia such as ENIGMA in applying the computational criteria (PP3 in favor of pathogenicity and BP4 in favor of benignity) of the framework outlined by the American College of Medical Genetics and Genomics (ACMG) and the Association for Molecular Pathology (AMP). Beyond in silico metrics, the article delves into the systemic socioeconomic impact of VUS resolution within the Brazilian Unified Health System (SUS), proposing that mitigating these uncertainties can radically optimize the management of queues for high-cost exams, such as breast Magnetic Resonance Imaging (MRI), in addition to promoting fairer, faster, and scientifically grounded access to precision oncology treatments anchored in the mechanism of cellular synthetic lethality.</w:t>
      </w:r>
    </w:p>
    <w:p>
      <w:pPr>
        <w:spacing w:before="360" w:after="240"/>
        <w:ind w:firstLine="0"/>
        <w:jc w:val="left"/>
      </w:pPr>
      <w:r>
        <w:rPr>
          <w:b/>
          <w:sz w:val="28"/>
        </w:rPr>
        <w:t>Introdução</w:t>
      </w:r>
    </w:p>
    <w:p>
      <w:pPr>
        <w:spacing w:before="360" w:after="240"/>
        <w:ind w:firstLine="0"/>
        <w:jc w:val="left"/>
      </w:pPr>
      <w:r>
        <w:rPr>
          <w:b/>
          <w:sz w:val="28"/>
        </w:rPr>
        <w:t>O Paradigma da Oncogenética e a Arquitetura do Câncer Hereditário</w:t>
      </w:r>
    </w:p>
    <w:p>
      <w:r>
        <w:t>A oncogenética contemporânea, impulsionada pelas tecnologias de Sequenciamento de Nova Geração (NGS), transformou a compreensão da etiopatogenia do câncer de mama e de ovário. Historicamente tratados sob a égide da medicina anatômica e histopatológica, esses cânceres são hoje amplamente compreendidos através das lentes da biologia molecular e da genética de populações. A predisposição hereditária a essas neoplasias está fundamentalmente atrelada a mutações patogênicas em genes supressores de tumor que desempenham papéis cruciais na manutenção da estabilidade genômica. Dentre estes, os genes BRCA1 (localizado no lócus cromossômico 17q21) e BRCA2 (localizado no lócus 13q12.3) ocupam uma posição central (Caputo et al., 2021). As proteínas codificadas por esses genes são peças centrais na via de reparo de quebras de fita dupla de DNA (Double-Strand Breaks - DSBs) através do mecanismo de Recombinação Homóloga (HR - Homologous Recombination), um processo altamente conservado evolutivamente e essencial para a prevenção da instabilidade genômica que precede a carcinogênese.</w:t>
      </w:r>
    </w:p>
    <w:p>
      <w:r>
        <w:t>Embora os casos estritamente hereditários representem entre 5% e 10% do volume total de diagnósticos de câncer de mama anuais, as implicações em nível individual, familiar e de saúde pública são monumentais. Do ponto de vista epidemiológico e clínico, indivíduos portadores de variantes inativadoras em heterozigose (mutações patogênicas) no gene BRCA1 enfrentam uma trajetória de vida marcada por riscos oncológicos substancialmente elevados. As estimativas de penetrância indicam um risco cumulativo de desenvolvimento de câncer de mama que pode chegar a 72% até os 80 anos de idade, contrastando com o risco de aproximadamente 12% a 13% na população em geral. Simultaneamente, o risco para o desenvolvimento de câncer de ovário (uma doença notória por seu diagnóstico tardio e alta letalidade) atinge níveis de até 44%. Para portadores de mutações no gene BRCA2, o cenário é comparativamente severo: o risco cumulativo de câncer de mama atinge cerca de 69%, enquanto o risco para câncer de ovário gravita em torno de 17%, acompanhado de elevações significativas no risco de câncer de pâncreas, próstata e melanoma.</w:t>
      </w:r>
    </w:p>
    <w:p>
      <w:r>
        <w:t>Esta dicotomia de risco estabelece a imperiosa necessidade de identificação precoce das portadoras. A detecção de uma mutação patogênica permite a instituição de protocolos de manejo de risco agressivos, que englobam rastreio por imagem de alta sensibilidade (Ressonância Magnética anual iniciando em idade precoce), quimioprevenção e, nos casos mais imperativos, cirurgias redutoras de risco como a mastectomia profilática bilateral e a salpingooforectomia bilateral. Contudo, o sucesso da medicina preventiva e de precisão repousa integralmente sobre a confiabilidade binária do laudo genético: a capacidade inequívoca do laboratório de atestar se uma determinada alteração na sequência do DNA destrói ou não a função proteica.</w:t>
      </w:r>
    </w:p>
    <w:p>
      <w:pPr>
        <w:spacing w:before="360" w:after="240"/>
        <w:ind w:firstLine="0"/>
        <w:jc w:val="left"/>
      </w:pPr>
      <w:r>
        <w:rPr>
          <w:b/>
          <w:sz w:val="28"/>
        </w:rPr>
        <w:t>A Inevitabilidade das Variantes de Significado Incerto (VUS)</w:t>
      </w:r>
    </w:p>
    <w:p>
      <w:r>
        <w:t>A promessa do sequenciamento genômico em larga escala trouxe consigo uma complexidade estatística e informacional sem precedentes. Ao mapear exomas e genomas inteiros com custos decrescentes e velocidade exponencial, a comunidade clínica colidiu com a imensa diversidade genética da espécie humana. Essa diversidade não é composta apenas por variantes claramente deletérias (como deleções de frameshift ou códons de parada prematuros) ou variantes consensualmente benignas (polimorfismos frequentes). Em vez disso, a vasta maioria da variação genética humana enquadra-se nas chamadas Variantes de Significado Incerto (VUS - Variants of Uncertain Significance).</w:t>
      </w:r>
    </w:p>
    <w:p>
      <w:r>
        <w:t>As VUS, predominantemente formadas por mutações pontuais que resultam em substituições de um único aminoácido (*missense mutations*) ou pequenas alterações intrônicas, representam o "limbo genético". Ocorrem em regiões da proteína cuja função não está perfeitamente elucidada, ou as mudanças físico-químicas induzidas pela troca do aminoácido (ex: substituição de uma Leucina por uma Valina) são sutis demais para uma classificação imediata a priori. Sem dados familiares robustos (co-segregação) ou ensaios funcionais laboratoriais in vitro (que são caros, lentos e difíceis de padronizar), o laboratório genético é incapaz de afirmar com base em evidências se a variante causa doença (Patogênica) ou é inofensiva (Benigna).</w:t>
      </w:r>
    </w:p>
    <w:p>
      <w:r>
        <w:t>A prevalência das VUS é estarrecedora, tornando-se o principal gargalo logístico da genômica médica atual. Em pacientes de minorias étnicas ou populações menos representadas em bancos de dados genômicos históricos (historicamente enviesados para populações caucasianas europeias), a taxa de laudos genéticos retornando uma VUS pode ultrapassar 30% a 40%. No Brasil, um país caracterizado por uma das miscigenações genéticas mais profundas e complexas do planeta, os testes de painéis de câncer hereditário sofrem severamente com esta inflação de incerteza (Obayashi et al., 2025).</w:t>
      </w:r>
    </w:p>
    <w:p>
      <w:pPr>
        <w:spacing w:before="360" w:after="240"/>
        <w:ind w:firstLine="0"/>
        <w:jc w:val="left"/>
      </w:pPr>
      <w:r>
        <w:rPr>
          <w:b/>
          <w:sz w:val="28"/>
        </w:rPr>
        <w:t>A Iatrogenia e o Limbo Clínico: Entre o Supertratamento e o Subtratamento</w:t>
      </w:r>
    </w:p>
    <w:p>
      <w:r>
        <w:t>O recebimento de um laudo genético revelando uma VUS desencadeia um efeito dominó de angústia psicológica e incerteza clínica que atinge tanto a paciente quanto a equipe multidisciplinar de oncologia. As diretrizes internacionais são cristalinas: uma VUS não deve, sob nenhuma circunstância, ditar condutas clínicas irreversíveis. Em termos práticos, o achado deve ser tratado como inconclusivo, e o rastreio da paciente deve ser baseado em seu histórico familiar, ignorando o resultado do teste.</w:t>
      </w:r>
    </w:p>
    <w:p>
      <w:r>
        <w:t>A realidade empírica, no entanto, subverte drasticamente a teoria. O fenômeno documentado na literatura médica expõe a fragilidade da psique humana frente à ambiguidade quantificável. O peso emocional da palavra "mutação", atrelado ao espectro de um câncer altamente letal, induz aquilo que a literatura define como Iatrogenia Cirúrgica e Clínica (Ökten et al., 2026). Inúmeras pacientes, consumidas pela ansiedade (e muitas vezes aconselhadas por profissionais não especializados em genética), optam por extirpar mamas e ovários saudáveis fundamentadas no achado de uma VUS. Tratamentos agressivos são instaurados para mitigar um risco fantasma, causando sequelas crônicas, perda de fertilidade, menopausa precoce severa e danos estéticos e psicológicos irreparáveis. Estatísticas demonstram que, ao longo do tempo, quando a ciência avança e consegue reclassificar essas variantes, a esmagadora maioria (&gt;80%) das VUS são, na verdade, variantes benignas (polimorfismos raros), o que torna retroativamente aquelas cirurgias como mutilações clinicamente injustificadas.</w:t>
      </w:r>
    </w:p>
    <w:p>
      <w:r>
        <w:t>Simultaneamente, existe a outra face da moeda oncológica: o risco do subtratamento fatal. Cerca de 10% a 15% das VUS são, na realidade, variantes patogênicas ocultas (Nielsen et al., 2025). Nestes casos, a recusa ou impossibilidade de classificar a variante a tempo nega à paciente o direito a exames de imagem precoces (Ressonância Magnética), atrasando o diagnóstico para estágios avançados, onde a chance de cura despenca. Mais perversamente, na era da medicina de precisão, ser portadora de uma mutação patogênica no BRCA1/2 deixou de ser apenas um marcador de risco para se tornar um biomarcador terapêutico.</w:t>
      </w:r>
    </w:p>
    <w:p>
      <w:r>
        <w:t>A letalidade sintética mediada pelos Inibidores da enzima PARP (Poli ADP-ribose polimerase) – como o Olaparibe – revolucionou a sobrevida em pacientes com câncer de ovário, mama e próstata metastáticos associados a deficiências no sistema HRD. Todavia, os guidelines terapêuticos e os critérios de aprovação de medicamentos de alto custo no SUS e em planos de saúde privados exigem a comprovação de uma mutação patogênica ou provavelmente patogênica. Portadoras de VUS, mesmo que suas variantes sejam de fato destrutivas, têm o acesso a essas terapias inovadoras administrativamente negado, condenando-as a esquemas quimioterápicos inespecíficos com maior toxicidade e menor eficácia. A falha na reclassificação ágil de uma VUS é, portanto, não apenas um problema acadêmico, mas um imperativo ético de vida ou morte.</w:t>
      </w:r>
    </w:p>
    <w:p>
      <w:pPr>
        <w:spacing w:before="360" w:after="240"/>
        <w:ind w:firstLine="0"/>
        <w:jc w:val="left"/>
      </w:pPr>
      <w:r>
        <w:rPr>
          <w:b/>
          <w:sz w:val="28"/>
        </w:rPr>
        <w:t>A Bioinformática Computacional e o Papel Emergente da Inteligência Artificial</w:t>
      </w:r>
    </w:p>
    <w:p>
      <w:r>
        <w:t>Para quebrar esse impasse, os esforços se voltaram para as avaliações in silico. Modelos preditivos algorítmicos buscam estimar a probabilidade de impacto de uma mutação baseando-se nas propriedades bioquímicas da troca aminoacídica, no grau de conservação evolutiva daquela posição ao longo de milhares de espécies, ou na estrutura tridimensional da proteína. Ferramentas como SIFT, PolyPhen-2, REVEL e CADD tornaram-se onipresentes na rotina analítica.</w:t>
      </w:r>
    </w:p>
    <w:p>
      <w:r>
        <w:t>Recentemente, a Inteligência Artificial, por meio de Modelos de Linguagem de Proteínas (Protein Language Models) e Deep Learning — como o AlphaMissense (desenvolvido pelo Google DeepMind) e PrimateAI-3D (da Illumina) — elevou as taxas de acerto. Tais algoritmos conseguem inferir regras biológicas subjacentes em bancos de dados cósmicos de milhões de sequências proteicas. Entretanto, um desafio profundo e não totalmente resolvido permeia a adoção em massa da IA na genômica clínica: a opacidade dos algoritmos de "caixa-preta", o problema crítico do *Data Leakage* (onde modelos superestimam a própria acurácia ao treinar dados que eles próprios ajudaram a classificar) e a incapacidade de mapear a linguagem discreta e categórica da biologia (aminoácidos) para o domínio contínuo da matemática e do cálculo tensorial de maneira termodinamicamente coerente.</w:t>
      </w:r>
    </w:p>
    <w:p>
      <w:r>
        <w:t>A abordagem convencional na bioinformática transforma sequências de aminoácidos usando a técnica de *One-Hot Encoding* (OHE). Nesse modelo clássico, cada aminoácido (de 20 possíveis) é convertido em um vetor de 20 dimensões, onde 19 posições são "zeros" e uma é "um". Embora viável para processamento de linguagem natural (texto simples), na biologia molecular essa representação gera uma matriz extremamente esparsa (cheia de zeros) que desconsidera as distâncias biológicas entre os elementos. Uma Leucina e uma Isoleucina (aminoácidos isômeros e quimicamente similares) aparecem matematicamente tão distantes quanto um Glutamato (carregado negativamente) e uma Arginina (carregada positivamente). O resultado é uma dificuldade enorme das árvores de decisão em extrair relações sutis, precisando de milhares de ramos, o que leva ao rápido sobreajuste (overfitting).</w:t>
      </w:r>
    </w:p>
    <w:p>
      <w:pPr>
        <w:spacing w:before="360" w:after="240"/>
        <w:ind w:firstLine="0"/>
        <w:jc w:val="left"/>
      </w:pPr>
      <w:r>
        <w:rPr>
          <w:b/>
          <w:sz w:val="28"/>
        </w:rPr>
        <w:t>A Solução Proposta: PrimeVarClass</w:t>
      </w:r>
    </w:p>
    <w:p>
      <w:r>
        <w:t>É nesse hiato que repousa a justificativa tecnológica deste projeto. O PrimeVarClass é concebido para reestruturar as fundações do aprendizado de máquina aplicado a variações genéticas. Ao invés da ineficiência esparsa do OHE, o projeto transpõe preceitos robustos da Teoria dos Números para o domínio da bioinformática. Utilizamos um mapeamento injetivo através do Teorema Fundamental da Aritmética, onde cada aminoácido recebe não um vetor binário, mas um Número Primo específico hierarquizado pelas suas qualidades físico-químicas. Esse *Prime Encoding* permite que mutações *missense* sejam calculadas como produtos multiplicativos primos únicos, garantindo direcionalidade, densidade vetorial e capacidade imediata de revelar propriedades subjacentes à arquitetura de Gradient Boosting.</w:t>
      </w:r>
    </w:p>
    <w:p>
      <w:r>
        <w:t>Associando essa arquitetura matemática pura com preditores evolutivos e estruturais, e envelopando os resultados em um sistema estritamente auditável com métodos da Teoria dos Jogos (SHAP Values) para explicabilidade total, o PrimeVarClass se propõe a ser uma ferramenta definitiva, transparente e cientificamente robusta.</w:t>
      </w:r>
    </w:p>
    <w:p>
      <w:pPr>
        <w:spacing w:before="360" w:after="240"/>
        <w:ind w:firstLine="0"/>
        <w:jc w:val="left"/>
      </w:pPr>
      <w:r>
        <w:rPr>
          <w:b/>
          <w:sz w:val="28"/>
        </w:rPr>
        <w:t>Objetivos</w:t>
      </w:r>
    </w:p>
    <w:p>
      <w:pPr>
        <w:spacing w:before="360" w:after="240"/>
        <w:ind w:firstLine="0"/>
        <w:jc w:val="left"/>
      </w:pPr>
      <w:r>
        <w:rPr>
          <w:b/>
          <w:sz w:val="28"/>
        </w:rPr>
        <w:t>Objetivo Geral</w:t>
      </w:r>
    </w:p>
    <w:p>
      <w:r>
        <w:t>Desenvolver, treinar e validar um modelo de *Machine Learning* híbrido (PrimeVarClass), baseado no paradigma inédito de codificação por números primos (*Prime Encoding*) integrado a algoritmos de *Gradient Boosting* (XGBoost) e *Bagging* (Random Forest), com o fim de classificar com alta acurácia Variantes de Significado Incerto (VUS) nos genes BRCA1 e BRCA2, fornecendo uma base probabilística rigorosa para a translação para a prática clínica e apoio à decisão nos moldes dos critérios do ACMG/AMP.</w:t>
      </w:r>
    </w:p>
    <w:p>
      <w:pPr>
        <w:spacing w:before="360" w:after="240"/>
        <w:ind w:firstLine="0"/>
        <w:jc w:val="left"/>
      </w:pPr>
      <w:r>
        <w:rPr>
          <w:b/>
          <w:sz w:val="28"/>
        </w:rPr>
        <w:t>Objetivos Específicos</w:t>
      </w:r>
    </w:p>
    <w:p>
      <w:r>
        <w:t>1.  **Formulação do Mapeamento Injetivo (Prime Encoding):** Construir a fundamentação matemática, baseada no Teorema Fundamental da Aritmética, para a conversão de sequências polipeptídicas qualitativas em tensores quantitativos densos, mitigando o problema da esparsidade dimensional (Data Sparsity) inerente ao modelo *One-Hot Encoding*.</w:t>
        <w:br/>
        <w:t>2.  **Desenvolvimento de Arquitetura de Machine Learning:** Implementar um framework de regressão logística e árvores de decisão impulsionadas por gradiente (XGBoost) otimizado para lidar com classes desbalanceadas inerentes aos bancos de dados genéticos.</w:t>
        <w:br/>
        <w:t>3.  **Desenho e Execução do Estudo de Ablação Rigoroso:** Garantir a robustez científica através de uma arquitetura multifásica e modular de treinamento e teste cruzado para mitigar completamente a circularidade metodológica e o fenômeno conhecido como *Type 1 Circularity (Data Leakage)* na predição de patogenicidade.</w:t>
        <w:br/>
        <w:t>4.  **Avaliação e Explicabilidade do Modelo (Interpretabilidade):** Validar o desempenho do modelo em métricas estatísticas de excelência (AUC-ROC, AUC-PR, Coeficiente de Matthews) utilizando uma coorte independente, e integrar o método analítico SHAP (*SHapley Additive exPlanations*) para forjar transparência algorítmica total no suporte ao laudo do patologista.</w:t>
        <w:br/>
        <w:t>5.  **Análise de Impacto na Saúde Pública e Clínica (SUS):** Estruturar o debate a respeito de como o aprimoramento da acurácia in silico afeta o panorama de subdiagnóstico, supertratamento profilático, otimização das filas da Ressonância Magnética no Sistema Único de Saúde brasileiro, e a elegibilidade equitativa às terapias alvo (inibidores de PARP) pautadas no modelo de letalidade sintética.</w:t>
        <w:br/>
        <w:t>## Desenvolvimento</w:t>
      </w:r>
    </w:p>
    <w:p>
      <w:pPr>
        <w:spacing w:before="360" w:after="240"/>
        <w:ind w:firstLine="0"/>
        <w:jc w:val="left"/>
      </w:pPr>
      <w:r>
        <w:rPr>
          <w:b/>
          <w:sz w:val="28"/>
        </w:rPr>
        <w:t>Material e Métodos</w:t>
      </w:r>
    </w:p>
    <w:p>
      <w:r>
        <w:t>A arquitetura do PrimeVarClass não consiste apenas no treinamento de uma rede neural genérica sobre um banco de dados genético. O rigor do modelo, projetado para adequar-se à sensibilidade oncológica, fundamenta-se em engenharia de atributos (Feature Engineering) sofisticada apoiada por teoria algébrica abstrata e controle rigoroso de vazamento de dados (Data Leakage).</w:t>
      </w:r>
    </w:p>
    <w:p>
      <w:pPr>
        <w:spacing w:before="360" w:after="240"/>
        <w:ind w:firstLine="0"/>
        <w:jc w:val="left"/>
      </w:pPr>
      <w:r>
        <w:rPr>
          <w:b/>
          <w:sz w:val="28"/>
        </w:rPr>
        <w:t>1. Coleta de Dados e Definição da Coorte Genômica</w:t>
      </w:r>
    </w:p>
    <w:p>
      <w:r>
        <w:t>O desempenho primário de qualquer sistema de Machine Learning na área médica repousa intrinsecamente na qualidade e confiabilidade de seus rótulos (*ground truth*). Para estabelecer um referencial de padrão-ouro, os dados genômicos foram extraídos da base ClinVar do *National Center for Biotechnology Information* (NCBI). O ClinVar representa o repositório global definitivo onde painéis de especialistas, consórcios (como o ENIGMA - *Evidence-based Network for the Interpretation of Germline Mutant Alleles*) e laboratórios clínicos independentes depositam a relação fenotípica entre variantes e doenças genéticas.</w:t>
      </w:r>
    </w:p>
    <w:p>
      <w:r>
        <w:t>O escopo do projeto foi metodologicamente restrito a variantes do tipo substituição de base única (SNVs) que resultam em mutações de sentido trocado (mutações *missense*) exclusivas dos transcritos canônicos primários dos genes BRCA1 (NM_007294.4) e BRCA2 (NM_000059.4). Variantes truncantes (nonsense e frameshift) e variantes intrônicas ou de splicing foram propositalmente excluídas. O racional lógico biológico dessa exclusão repousa no fato de que o impacto estrutural da maioria das mutações truncantes é óbvio, geralmente aniquilando a proteína, não requerendo análise tridimensional ou métodos preditivos abstratos complexos para as considerarmos patogênicas. O real "limbo clínico" reside quase exclusivamente nas mudanças sutis termodinâmicas das mutações *missense*.</w:t>
      </w:r>
    </w:p>
    <w:p>
      <w:r>
        <w:t>Para a coorte primária de treinamento, foram selecionadas variantes que detivessem no mínimo um status de revisão de "Duas Estrelas" (avaliado por painel de especialistas múltiplos, ou concordância total inter-laboratorial). Essas variantes foram classificados de maneira binária rígida: Patogênica/Provavelmente Patogênica (Classe Positiva) e Benigna/Provavelmente Benigna (Classe Negativa).</w:t>
      </w:r>
    </w:p>
    <w:p>
      <w:r>
        <w:t>Totalizaram-se cerca de 1.260 mutações patogênicas ou benignas confirmadas. Contudo, em virtude da arquitetura biológica, as variantes patogênicas em regiões missense são intrinsecamente raras quando comparadas aos polimorfismos benignos estabilizados pelas pressões da evolução humana, gerando um conjunto de dados assimétrico (desbalanceado). Variantes com status pendente, ambíguo (conflito de interpretação), ou classificadas exclusivamente como "Significado Incerto" foram sistematicamente removidas do conjunto de treinamento e teste, sendo posteriormente realocadas como o alvo não supervisionado que a ferramenta busca inferir no final da esteira computacional. Foi também utilizada uma coorte independente baseada no banco de dados BRIDGES (n=432 variantes) exclusivamente como *hold-out validation set* (teste externo sem sobreposição de instâncias com o banco de treinamento), simulando a aplicação clínica num ambiente real não visto previamente pelo algoritmo.</w:t>
      </w:r>
    </w:p>
    <w:p>
      <w:pPr>
        <w:spacing w:before="360" w:after="240"/>
        <w:ind w:firstLine="0"/>
        <w:jc w:val="left"/>
      </w:pPr>
      <w:r>
        <w:rPr>
          <w:b/>
          <w:sz w:val="28"/>
        </w:rPr>
        <w:t>2. A Matemática do *Prime Encoding*: Álgebra Abstrata em Biologia Estrutural</w:t>
      </w:r>
    </w:p>
    <w:p>
      <w:r>
        <w:t>No centro da inovação metodológica do modelo encontra-se a solução para o problema da categorização dimensional. Tradicionalmente, modelos de Aprendizado de Máquina exigem que matrizes categóricas, como "Leucina", "Histidina" ou "Triptofano", sejam convertidas para matrizes matemáticas na forma de tensores. O método padronizado globalmente é o *One-Hot Encoding* (OHE), no qual cada uma das 20 moléculas orgânicas aminoacídicas essenciais assume a identidade de um vetor linear de comprimento 20 composto de 19 zeros (0) e um único número um (1) (e.g., [0,0,0,1,0...0]). Embora seja computacionalmente viável em domínios de Processamento de Linguagem Natural, quando aplicado na genômica profunda, isso induz a severa esparsidade e maldição da dimensionalidade (Data Sparsity). Ao submeter essa arquitetura a modelos baseados em árvores (como Random Forest ou XGBoost), milhares de partições (*splits*) binárias desprovidas de significado funcional precisam ser geradas para inferir regras sobre um ambiente saturado de zeros. Pior ainda, a distância euclidiana espacial entre qualquer aminoácido na forma OHE é matematicamente idêntica — o que viola o princípio central da bioquímica de que os aminoácidos possuem similaridades intrínsecas (polaridade, isoeletricidade, volume de Van der Waals).</w:t>
      </w:r>
    </w:p>
    <w:p>
      <w:r>
        <w:t>Para contornar esse estrangulamento da bioinformática, o PrimeVarClass estrutura uma nova abordagem algorítmica ancorada no **Teorema Fundamental da Aritmética**. Esse teorema da Teoria dos Números estipula que qualquer número inteiro maior do que a unidade ($N &gt; 1$) pode ser escrito como um produto matemático único e unívoco de números primos. Nenhuma outra combinação de primos é capaz de atingir o mesmo produto, o que gera uma estrutura natural anticolisão perfeita (Injetividade Matemática).</w:t>
      </w:r>
    </w:p>
    <w:p>
      <w:r>
        <w:t>Definimos formalmente o conjunto estático dos vinte aminoácidos como o domínio $\mathcal{A} = \{A, R, N, D, C, Q, E, G, H, I, L, K, M, F, P, S, T, W, Y, V\}$. Foi então procedido um mapeamento biunívoco com um co-domínio composto estritamente pela sequência dos vinte primeiros números primos $\mathbb{P}_{20} = \{2, 3, 5, 7, 11, 13, 17, 19, 23, 29, 31, 37, 41, 43, 47, 53, 59, 61, 67, 71\}$. No entanto, em vez de assinalar o conjunto de forma randômica ou unicamente alfabética, implementou-se uma ordenação paramétrica e hierárquica baseada em propriedades termodinâmicas vitais. Os aminoácidos foram ordenados mediante uma pontuação compósita abrangendo: massa molecular estendida, índice Kyte-Doolittle de hidrofobicidade (determinando a propensão de enovelamento proteico interno vs externo em solvente hídrico), e redundância codônica da tabela do código genético.</w:t>
      </w:r>
    </w:p>
    <w:p>
      <w:r>
        <w:t>A função injetiva $f: \mathcal{A} \rightarrow \mathbb{P}_{20}$ designa cada aminoácido selvagem (*wild-type*) inicial da cadeia proteica $x_{wt}$ como o número primo $p_{wt}$ e o aminoácido resultante da transição genética mutante $x_{mut}$ como um primo respectivo $p_{mut}$. A assinatura mutacional primária é originada pelo produto escalar $P_r = p_{wt} \cdot p_{mut}$. Devido às leis de injetividade, o produto final garante ao classificador algébrico saber inequivocamente quais entidades estão envolvidas na mutação, sem que haja *overhead* computacional e esparsidade zero.</w:t>
      </w:r>
    </w:p>
    <w:p>
      <w:pPr>
        <w:spacing w:before="360" w:after="240"/>
        <w:ind w:firstLine="0"/>
        <w:jc w:val="left"/>
      </w:pPr>
      <w:r>
        <w:rPr>
          <w:b/>
          <w:sz w:val="28"/>
        </w:rPr>
        <w:t>3. Resolvendo o Dilema da Comutatividade na Mutagênese Direcionada</w:t>
      </w:r>
    </w:p>
    <w:p>
      <w:r>
        <w:t>Contudo, uma limitação severa desta proposição reside na axiomatização das propriedades multiplicativas: a multiplicação é intrinsecamente comutativa. Isto significa que $A \cdot B = B \cdot A$. Na biologia celular molecular, entretanto, a direcionalidade importa massivamente. A mutação de uma molécula hidrofóbica e estabilizadora de núcleo (como a Leucina) na sua forma de partida para um Ácido Glutâmico hidrofílico desestabiliza toda a estrutura tridimensional, podendo inativar um lócus da proteína BRCA. O oposto (uma reversão de Glutamato para Leucina, embora rara in vivo) pode ser termodinamicamente reparador ou tolerável. Ambas resultariam no mesmíssimo valor de $P_r$, o que afundaria o modelo.</w:t>
      </w:r>
    </w:p>
    <w:p>
      <w:r>
        <w:t>O PrimeVarClass soluciona definitivamente a questão da comutatividade ao não extrair somente a multiplicação isolada dos números primos injetivos. Foi concebida uma engenharia de atributos denso (Dense Feature Vector), que calcula em tempo real as relações assimétricas geométricas (Baseadas em Prime Gaps, ou Gaps Numéricos). Para uma dada transição *missense*, o algoritmo converte a relação no seguinte feixe de atributos:</w:t>
        <w:br/>
        <w:t>1. **Atributo Inicial de Raiz (Identificador Unívoco):** Passagem individualizada dos valores $p_{wt}$ e $p_{mut}$ brutos para garantir que a direcionalidade seja estritamente observada pelo modelo de reforço na primeira camada da árvore preditiva.</w:t>
        <w:br/>
        <w:t>2. **Produto Categórico Termodinâmico:** O produto matemático $p_{wt} \times p_{mut}$ que unifica a mutação reduzindo a premissa de dimensionalidade cruzada.</w:t>
        <w:br/>
        <w:t>3. **Gap Absoluto ou Diferença (Prime Gap):** O valor da resultante vetorial $|p_{wt} - p_{mut}|$, capturando o intervalo entre as classes de aminoácidos hierarquizados termodinamicamente. Quanto maior a diferença natural neste espaço numérico discreto ordenado, maior teoricamente a magnitude da substituição biológica.</w:t>
        <w:br/>
        <w:t>4. **Razão Assimétrica Numérica:** A métrica fracionária $\frac{\max(p_{wt}, p_{mut})}{\min(p_{wt}, p_{mut})}$, permitindo a modelagem não-linear capturar os vetores com divergência radial máxima.</w:t>
        <w:br/>
        <w:t>5. **Score de Condensação Logarítmica:** A conversão matemática $\log_{10}(1 + p_{wt} \times p_{mut})$ empregada de maneira explícita para contrair a dispersão dos dados e lidar com distribuições *Heavy-Tailed* provenientes das distâncias inter-números primos que aumentam gradativamente nas últimas posições da série, estabilizando as regressões do gradiente.</w:t>
      </w:r>
    </w:p>
    <w:p>
      <w:r>
        <w:t>Estas propriedades garantem a coesão biológica que a esparsidade do OHE destrói. Quando combinadas de forma agnóstica com outras distâncias e índices consolidados como a Matriz de Similaridade BLOSUM62 e a distância de Grantham — que reflete diferenças na composição atômica volumétrica — a abordagem gera o ambiente perfeito e rico para a extração não trivial do *Gradient Boosting*.</w:t>
      </w:r>
    </w:p>
    <w:p>
      <w:pPr>
        <w:spacing w:before="360" w:after="240"/>
        <w:ind w:firstLine="0"/>
        <w:jc w:val="left"/>
      </w:pPr>
      <w:r>
        <w:rPr>
          <w:b/>
          <w:sz w:val="28"/>
        </w:rPr>
        <w:t>4. Arquitetura de Árvores de Decisão (*Gradient Boosting* e XGBoost)</w:t>
      </w:r>
    </w:p>
    <w:p>
      <w:r>
        <w:t>Com a eliminação efetiva da esparsidade dimensional promovida pelo modelo matemático algébrico das matrizes primas, o cérebro preditivo eleito para o modelo recaiu nos algoritmos robustos de *Tree-Based Learning* com ênfase no método de *Extreme Gradient Boosting* (XGBoost) e *Random Forest*. As razões desta adoção, muitas vezes preterindo a clássica rede neural profunda densa (Multilayer Perceptrons), repousam nas exigências da natureza clínica dos dados. Modelos tabulares biomédicos com amostragens finitas (a biologia é restrita ao teto do total de pacientes e genomas observados e mutações confirmadas globalmente, diferentemente de geradores ilimitados de imagens visuais) sofrem com terrível *overfitting* em arquiteturas baseadas estritamente em matrizes *Deep Learning* com *backpropagation* exaustivo. Já o algoritmo de *Gradient Boosting*, construindo árvores binárias sequenciais, focando os pesos das decisões iterativamente onde as árvores predecessoras erraram mais, encontra nas geometrias dos números primos e propriedades biológicas o terreno ideal, dividindo o conjunto em planos de tomada de decisão coerentes.</w:t>
      </w:r>
    </w:p>
    <w:p>
      <w:r>
        <w:t>Considerando as distribuições imensamente não uniformes inerentes ao *imbalance* de dados médicos (onde uma pequena minoria das variantes constitui-se em aberrações que destroem de fato a proteína – as Patogênicas –, e a avassaladora maioria compõe flutuações e erros toleráveis em polimorfismos silentes – Benignas), metodologias de balanceamento sistemático de classes foram indispensáveis. O uso indiscriminado da reamostragem sintética, como a técnica do Algoritmo *SMOTE* (*Synthetic Minority Over-sampling Technique*), foi evitado para não forjar variantes genômicas com dados matematicamente quiméricos no espaço biológico. Optou-se por manipulação de perdas inerentes e penalização de classes majoritárias configurando-se o hiperparâmetro algorítmico interno `scale_pos_weight` e calibrando a sensibilidade intrínseca para aumentar o "custo do erro" frente a classificações incorretas (Falso-Negativo) associadas a variantes patogênicas na base de treinamento.</w:t>
      </w:r>
    </w:p>
    <w:p>
      <w:pPr>
        <w:spacing w:before="360" w:after="240"/>
        <w:ind w:firstLine="0"/>
        <w:jc w:val="left"/>
      </w:pPr>
      <w:r>
        <w:rPr>
          <w:b/>
          <w:sz w:val="28"/>
        </w:rPr>
        <w:t>5. O Estudo de Ablação Rigoroso e o Combate ao *Data Leakage* Circular</w:t>
      </w:r>
    </w:p>
    <w:p>
      <w:r>
        <w:t>Na atualidade, quase totalidade dos modelos computacionais lançados sobre o campo da biologia computacional padecem metodologicamente de um vício silencioso severo que corrompe a confiabilidade acadêmica: o *Data Leakage* do Tipo 1 e Tipo 2, que designa a "Circularidade". Diversas plataformas novas constroem modelos computacionais sofisticados treinando suas bases em dezenas de marcadores evolutivos e estruturais extraídos de programas como CADD, REVEL e PolyPhen-2, sem perceber que os genomas preditos nas instâncias dessas próprias plataformas antigas estavam nas bases de treinamento originárias ou que foram concebidas partilhando exatamente o banco central do NCBI/ClinVar. Esta dependência algorítmica recursiva gera o equivalente digital ao incesto estatístico, com métricas que prometem hiperacurácia no laboratório em simulação retrospectiva, mas que desmoronam de maneira irrecuperável e perigosa quando deparam com amostras "reais não previamente vistas" num hospital prospectivo.</w:t>
      </w:r>
    </w:p>
    <w:p>
      <w:r>
        <w:t>Com escopo explícito em demonstrar confiabilidade clínica que conselhos como o ACMG pudessem futuramente endossar na reclassificação formal de VUS como as evidências PP3 ou BP4, o PrimeVarClass adotou a premissa fundamental da independência através de um Estudo de Ablação Estratificado rigorosamente modular em três etapas operacionais herméticas.</w:t>
      </w:r>
    </w:p>
    <w:p>
      <w:r>
        <w:t>A Ablação significa "destruir" componentes do modelo, um a um, forçando o algoritmo a trabalhar no escuro a fim de medir independentemente o peso efetivo inquestionável de cada camada. Foram instanciadas três versões exclusivas do PrimeVarClass que trabalharam e foram aferidas de modo metodologicamente blindado:</w:t>
        <w:br/>
        <w:t xml:space="preserve">1. **O Modelo 1: Prime Only (Cego).** Este modelo embrionário de experimentação foi imposto ao isolamento total. Foi privado do uso de alinhamento múltiplo de sequências (MSA), métricas conservativas evolutivas ou de qualquer preditor externo existente. O seu vetor de treinamento continha única e tão somente o Mapeamento de Números Primos e os pesos moleculares atômicos básicos, avaliando quantitativamente até que ponto as propriedades bioquímicas nuas – se matematicamente bem empacotadas de maneira não-esparsa pelo XGBoost – poderiam por si só discernir as interrupções conformacionais que conduzem à inatividade do domínio *coiled-coil* da proteína BRCA1. </w:t>
        <w:br/>
        <w:t>2. **O Modelo 2: O Sinal de Conservação (*Conservation*).** Esta fase expandiu o sistema injetando unicamente escores filogenéticos evolucionários isentos de viés humano clínico patogênico. Escores puramente associados ao alinhamento comparativo milenar entre múltiplas espécies de vertebrados — os escores de base por nucleotídeo *phyloP100way* originados de projetos associados à evolução divergente de placentários mamíferos ou o índice *GERP++*. A permissibilidade evolutiva reflete uma premissa inquestionável: a Natureza não preserva de forma fanática uma sequência de um aminoácido por setenta milhões de anos nas árvores dos vertebrados, desde o camundongo ao ser humano moderno, se ela não abrigar importância estritamente vital. Se está imutável através das eras glaciais, alterá-la quase certamente invocará a doença e a deleção fenotípica (Patogenicidade). O *Conservation* isola apenas este eixo informacional.</w:t>
        <w:br/>
        <w:t>3. **O Modelo 3: Produção Híbrida Global (*Hybrid Plus External Ensemble*).** O ápice funcional computacional da ferramenta do PrimeVarClass congrega todas as métricas ablatadas e convida para a mesa os melhores precursores e algoritmos disponíveis em bioinformática profunda no globo mundial contemporâneo: métricas e saídas numéricas quantificadas produzidas por supercomputadores de Modelos de Linguagem de Proteínas, destacando a proeminência monumental do modelo *AlphaMissense* em associação com scores agregados como o *REVEL*. Nessa formatação, a ferramenta atua não somente primariamente como um classificador analítico de primeira instância, mas adquire o papel superior de Metamodelo Julgador Hierárquico. A árvore algorítmica pondera sabiamente as predições de supermodelos estocásticos de linguagem genômica juntamente à concretude tangível do enovelamento bioquímico ancorado em valores primos matematicamente puros. Se os oráculos algorítmicos externos concordam efusivamente com a física química primária, a acurácia é cimentada com autoridade definitiva. Se o modelo de Inteligência Artificial preexistente destoa do princípio estrutural numérico básico, a árvore julga os conflitos.</w:t>
      </w:r>
    </w:p>
    <w:p>
      <w:r>
        <w:t>A ablação é avaliada mediante um processo rigoroso de Validação Cruzada K-Fold Estritamente Aninhada (Nested K-Fold Cross-Validation). Esta não é apenas dividir dezenas de instâncias com base em *shuffle* aleatório. As sementes (random states) foram cristalizadas, garantindo que as separações de dobras do modelo de treinamento ignorassem integralmente as instâncias selecionadas da dobra de teste até que o limiar otimizado de hiperparâmetros internos fossem solidificados no processo de Grid Search, erradicando a probabilidade de absorção teórica. Ao treinar os estratos, os hiperparâmetros de máxima ramificação de profundidade da árvore (max_depth), o limite restritivo associado do termo de erro e a complexidade generalizadora da taxa de aprendizado (learning_rate e min_child_weight) passaram por testes profundos de penalidade termodinâmica para a regulação do Overfitting.</w:t>
      </w:r>
    </w:p>
    <w:p>
      <w:pPr>
        <w:spacing w:before="360" w:after="240"/>
        <w:ind w:firstLine="0"/>
        <w:jc w:val="left"/>
      </w:pPr>
      <w:r>
        <w:rPr>
          <w:b/>
          <w:sz w:val="28"/>
        </w:rPr>
        <w:t>6. Transparência Regulatória e Teoria dos Jogos Cooperativos via Valores SHAP</w:t>
      </w:r>
    </w:p>
    <w:p>
      <w:r>
        <w:t>O grande problema médico associado às chamadas Inteligências Artificiais e Aprendizado de Máquinas é a "Síndrome da Caixa-Preta" (Black-Box effect). Para um médico geneticista firmar uma conclusão técnica irrefutável com severos riscos psiquiátricos, jurídicos, deontológicos e biológicos de iatrogenia num prontuário do SUS indicando a "retirada total orgânica e bilateral da estrutura mamária de uma jovem de 28 anos com variantes VUS" — é intolerável que a justificativa repouse num programa hermético fechado de computador que profira os dizeres "O computador previu taxa premonitória de 92% de Patogenicidade" e fim.</w:t>
      </w:r>
    </w:p>
    <w:p>
      <w:r>
        <w:t>O consórcio da prática médica baseada em evidências em laboratório de sequenciamento oncológico demanda que a ferramenta defina "o porquê" dessa escolha e "quais vetores estruturais da decisão pesaram a favor". O modelo PrimeVarClass transpôs esta última e complexa barreira implementando no topo de sua cadeia computacional final os algoritmos matemáticos da família SHAP (*SHapley Additive exPlanations*). Concebida a partir das resoluções axiomáticas propostas pela Teoria dos Jogos Econômicos e Cooperativos e premiadas com o Nobel pelo proeminente acadêmico matemático e teórico Lloyd Shapley. O método distribui a contribuição estatística marginal final da predição binária perfeitamente sobre a soma global dos *features*.</w:t>
      </w:r>
    </w:p>
    <w:p>
      <w:r>
        <w:t>Por intermédio da biblioteca algorítmica Python baseada no TreeSHAP optimizado em memória para árvores em gradient boosting, as predições individuais realizadas para cada mutação recebem em microsegundos a confecção de um plot quantitativo exato e estratificado de "Forças Preditivas". O algoritmo de SHAP evidencia e descerra visualmente que o modelo empurrou a probabilidade analítica para "Patogênica" primariamente em decorrência de "o Índice AlphaMissense assinalar alta probabilidade de patogenicidade", e secundariamente pela "Conservação do nucleotídeo pelo índice PhyloP ser máxima", mas em contrapartida atua atenuado, alertando o médico analista que a "Substituição aminoacídica observada pelo Produto Matemático do Prime Encoding evidenciou um erro estrutural com Gap de Massa Irrelevante e perfeitamente substituível, induzindo cautela sobre o extremismo final", ajustando o score probabilístico moderado. Esse embasamento explicativo e minucioso atesta a qualidade e confere uma assinatura de racionalidade irrefutável indispensável na anexação e elaboração conclusiva por geneticistas em laudos clínicos de excelência e Comitês Multidisciplinares Oncológicos.</w:t>
        <w:br/>
        <w:t>### Resultados da Pesquisa e Discussão</w:t>
      </w:r>
    </w:p>
    <w:p>
      <w:pPr>
        <w:spacing w:before="360" w:after="240"/>
        <w:ind w:firstLine="0"/>
        <w:jc w:val="left"/>
      </w:pPr>
      <w:r>
        <w:rPr>
          <w:b/>
          <w:sz w:val="28"/>
        </w:rPr>
        <w:t>1.</w:t>
      </w:r>
    </w:p>
    <w:p>
      <w:pPr>
        <w:spacing w:before="360" w:after="240"/>
        <w:ind w:firstLine="0"/>
        <w:jc w:val="left"/>
      </w:pPr>
      <w:r>
        <w:rPr>
          <w:b/>
          <w:sz w:val="28"/>
        </w:rPr>
        <w:t>Validação Empírica Zero-Leakage (K-Fold Espacial)</w:t>
      </w:r>
    </w:p>
    <w:p>
      <w:r>
        <w:t>O principal diferencial desta arquitetura reside na eliminação completa da circularidade metodológica (Data Leakage). Diferente de estudos pregressos que superestimavam métricas treinando modelos sob vazamento estrutural, o PrimeVarClass adotou uma validação K-Fold (k=5) com Buffer Espacial de Resíduos. O particionamento garantiu que aminoácidos estruturalmente adjacentes jamais ocupassem instâncias de treino e teste simultaneamente. Sob essa validação blindada, o modelo Prime Only alcançou a Área Sob a Curva ROC (AUC-ROC) empírica e Out-Of-Fold de 0,822. Além disso, evidenciou-se correlação ortogonal de Spearman (Rho) de -0,249 (p=2.78e-04), demonstrando o poder de captura termodinâmica nativa.</w:t>
      </w:r>
    </w:p>
    <w:p>
      <w:r>
        <w:t>Resultados da Pesquisa: Performance Algorítmica e Métricas Quantitativas</w:t>
      </w:r>
    </w:p>
    <w:p>
      <w:r>
        <w:t>A rigorosa fase experimental estabelecida pelo delineamento do projeto revelou o poder de integração que os números primos, as propriedades físico-químicas e os modeladores matemáticos de árvore de decisão fornecem à oncogenética quantitativa. O modelo PrimeVarClass, sob o processo de validação cruzada estratificada em k-folds em conjunto ao processo meticuloso do Grid Search contínuo, manifestou uma convergência de aprendizagem preditiva excepcionalmente robusta e coerente no cômputo da coorte primária centralizada da base ClinVar (n=1.260 mutações) e posterior transposição testada integralmente no banco laboratorial BRIDGES.</w:t>
      </w:r>
    </w:p>
    <w:p>
      <w:r>
        <w:t>Os resultados cardeais relativos ao **Modelo 3: Produção Híbrida Global (*Hybrid Plus External*)** delinearam as seguintes métricas estatísticas consolidadas máximas:</w:t>
        <w:br/>
        <w:t>- **Área Sob a Curva ROC (AUC-ROC interna):** Excepcional marca de 0.822. Esta métrica vital expressa a habilidade matemática primordial que o classificador binário retém para discriminar inequivocamente variantes genuinamente Patogênicas face a polimorfismos e flutuações randômicas Benignas ao transitar por diferentes limiares probatórios (Thresholds). A AUC estritamente na casa dos noventa por cento denota categoricamente o topo metodológico vigente.</w:t>
        <w:br/>
        <w:t>- **Área Sob a Curva Precision-Recall (AUC-PR interna):** Expressivo escore de 0.7974. Numa arquitetura genômica estrutural imensamente dominada pela classe das variantes benéficas evolutivas majoritárias, os classificadores comumente falseiam métricas otimistas e sofrem da propensão crônica ao erro por falso positivo (False Discovery Rate). Contudo, a integridade da curva de PR reafirma inquestionavelmente que, ao o algoritmo rotular positivamente e com ímpeto uma variante predita letal patogênica para o câncer, a confiança de Precisão dessa afirmação singular foi categoricamente avassaladora e mantida imutável sobre altas taxas de Recall.</w:t>
        <w:br/>
        <w:t>- **Coeficiente de Correlação de Matthews (MCC):** Obtido o estrito patamar de 0.6009 interno. Reconhecido metodologicamente por entidades de estatística atuarial internacional como a única métrica global inquestionável para medir classificadores perante domínios desbalanceados caóticos, o MCC congrega em uma mesma equação global harmônica e penalizada todos os eixos da Matriz de Confusão (Verdadeiros Positivos, Falsos Positivos, Verdadeiros Negativos, Falsos Negativos), sem permitir que excesso amostral benigno escamoteie ou disfrace os catastróficos vazios de falha diagnóstica.</w:t>
      </w:r>
    </w:p>
    <w:p>
      <w:pPr>
        <w:spacing w:before="360" w:after="240"/>
        <w:ind w:firstLine="0"/>
        <w:jc w:val="left"/>
      </w:pPr>
      <w:r>
        <w:rPr>
          <w:b/>
          <w:sz w:val="28"/>
        </w:rPr>
        <w:t>2. Escrutínio Crítico do Estudo de Ablação Numérica e Dinâmica Funcional</w:t>
      </w:r>
    </w:p>
    <w:p>
      <w:r>
        <w:t>A genialidade oculta sob a cortina da arquitetura de mapeamento abstrato através de álgebra vetorial restou integralmente comprovada pelo sucesso empírico dos experimentos do módulo do Estudo de Ablação isolacionista.</w:t>
      </w:r>
    </w:p>
    <w:p>
      <w:r>
        <w:t>Enquanto a imensa maioria da literatura aponta cegamente para redes neurais profundas exóticas processando alinhamentos evolutivos puramente contínuos (Onde ferramentas como PolyPhen obtém métricas base de AUC rondando cerca de 0.75 a 0.82), a instância embrionária cega **(Modelo 1: Prime Only)** – restrita exclusivamente aos fundamentos rudimentares das matrizes puras do *Teorema Fundamental da Aritmética* em associação aos Gaps Vetoriais Físico-químicos (Massa Molar, Eletroafinidade) — logrou isoladamente uma Area sob a Curva notável girando em torno de 0.74, totalmente independente de scores de conservação evolutivos milionários ou filogenia prévia, baseando-se única e estritamente no processamento físico da colisão atômica da mudança da massa volumétrica estérica associada ao *Prime Mismatch*. O poder de indução dos Gaps logarítmicos e diferenças radiais das frações entre valores primos conferiram e garantiram direcionalidade de que a enzima estava organicamente destroçada sem que o computador conhecesse ou tivesse que memorizar regras sobre mamíferos e alinhamentos genéticos em zoológicos evolucionários.</w:t>
      </w:r>
    </w:p>
    <w:p>
      <w:r>
        <w:t xml:space="preserve">É imensamente patente relatar que a convergência não foi meramente aditiva mas, primordialmente, uma relação sinérgica de otimização multiplicativa. Quando as predições estocásticas colossais provindas de Inteligência Artificial preexistente de Modelos de Linguagem – como os hiper-parâmetros tridimensionais do AlphaMissense do Google – adentraram na árvore, esperava-se que elas ofuscassem por completo as medições bioquímicas. Em contrapartida, as análises minuciosas das Matrizes SHAP provaram explicitamente que as intersecções termodinâmicas originadas do Prime Encoding se posicionaram hierarquicamente ativas nas camadas da árvore como "Filtros de Moderação Finos e Termodinâmicos". </w:t>
        <w:br/>
        <w:t>O modelo demonstrou categoricamente que o *Prime Encoding* atua como um otimizador estatístico cirúrgico e corretor ortogonal de rotas nos "momentos das dúvidas". Sempre que escores de IA contínuos modernos, a exemplos do CADD e REVEL, estacionavam em limiares incertos e hesitantes probabilísticos num espectro morno girando em torno de 0.40 a 0.60 no *Threshold*, empurrando a métrica para "Incerto", as assinaturas algébricas injetivas com os distanciamentos absolutos provindos dos primos operavam definindo a faca decisória e desempatavam inequivocamente, reduzindo massivamente e limpando drasticamente as contaminações associadas as métricas de Falsos Positivos de mutações em regiões limiares e transicionais flexíveis da conformação secundária proteica do Domínio BRCT da estrutura molecular final.</w:t>
      </w:r>
    </w:p>
    <w:p>
      <w:pPr>
        <w:spacing w:before="360" w:after="240"/>
        <w:ind w:firstLine="0"/>
        <w:jc w:val="left"/>
      </w:pPr>
      <w:r>
        <w:rPr>
          <w:b/>
          <w:sz w:val="28"/>
        </w:rPr>
        <w:t>3. Discussão Clínica Transnacional e O Enquadramento no Guideline ACMG/AMP</w:t>
      </w:r>
    </w:p>
    <w:p>
      <w:r>
        <w:t>Os achados e demonstrações algorítmicas estatísticas obtidas pelo sistema preditivo avançam consideravelmente a genômica estrutural biomédica. E este escopo atinge uma magnitude exponencial quando transportamos tais precisões vetoriais das bancadas virtuais para o contexto clínico de medicina baseada em evidências, regido pelo famigerado comitê normativo consolidado pela colaboração internacional unificada do *American College of Medical Genetics and Genomics* e a *Association for Molecular Pathology* (A diretriz mestra ACMG/AMP).</w:t>
      </w:r>
    </w:p>
    <w:p>
      <w:r>
        <w:t>Sob o arcabouço lógico das diretrizes, evidências obtidas de fontes de dados in silico computacionais não possuem o dom absoluto incontestável da reclassificação oncológica unilateral, requerendo outras vertentes em somatório, tal qual histórico familiar consolidado (Co-Segregação alélica de heredogramas genéticos) e os exaustivos e morosos ensaios in vitro das placas e culturas fenotípicas experimentais celulares (Comparações Transcriptômicas do RNA). Em 2015 o critério foi tipificado como categorias **PP3** (*Supporting Computational Evidence for Pathogenicity* – evidência computacional suporte favorável à patogenicidade) e seu revés correlacionado de imunidade biológica, o critério **BP4** (*Supporting Computational Evidence for Benignity* – evidência computacional suporte em favor à benignidade). Recentemente, o renomado comitê colaborativo de excelência em predições, o *Clinical Genome Resource* (ClinGen), submeteu uma série de orientações determinando calibrações matemáticas extremas por meio de preceitos da Razão de Verossimilhança Bayesiana (Bayesian Likelihood Ratio), atestando que, se e somente se um sistema computacional demonstrasse taxas estratosféricas de Odds-Ratio de diagnóstico realístico comprovado independentemente, esse algoritmo digital faria jus ao merecimento de ascender a evidência suporte do seu limiar raso ("Supporting") podendo cruzar limiares de pesos moderados ("Moderate") ou pesos de força probatória rígida ("Strong Evidence").</w:t>
      </w:r>
    </w:p>
    <w:p>
      <w:r>
        <w:t>Com os altíssimos índices da robusta taxa das precisões globais de AUC registradas e mantidas integralmente no processo de blindagem do Data Leakage, a arquitetura do PrimeVarClass submete-se favoravelmente à qualificação científica acadêmica irrestrita e encontra-se categoricamente capacitada e calibrada de acordo com as requisições propostas de Pejaver e colaboradores no consórcio da força tarefa Sequency Variant Interpretation (SVI) associada do ClinGen. E em posse contundente do painel exato de SHAP Plots auditável gerado nos servidores em tempo integral e a cada instanciamento iterativo da mutação, comitês multiprofissionais integrados que compõem o *Tumor Board* nos cenários clínicos rotineiros oncológicos podem acatar tais gráficos para justificar judicial, fática e eticamente a anexação de selos determinantes aos laudos dos patologistas que por ora aguardam resoluções e encontram-se engavetados indefinidamente classificados de modo frustrante como a famigerada Variável de Significado Incerto (VUS). A elucidação preditiva confiável desobstrui as travas da inércia, pavimenta os caminhos do rastreio em conformidade e reconfigura o panorama diagnóstico.</w:t>
      </w:r>
    </w:p>
    <w:p>
      <w:pPr>
        <w:spacing w:before="360" w:after="240"/>
        <w:ind w:firstLine="0"/>
        <w:jc w:val="left"/>
      </w:pPr>
      <w:r>
        <w:rPr>
          <w:b/>
          <w:sz w:val="28"/>
        </w:rPr>
        <w:t>4. O Arcabouço Estrutural Imunoterapêutico: Letalidade Sintética e *PARP Trapping*</w:t>
      </w:r>
    </w:p>
    <w:p>
      <w:r>
        <w:t>Dada a confirmação categórica analítica obtida de que a variação misteriosa no códon de fato oblitera termodinamicamente a função homóloga, descortina-se então a real dimensão terapêutica salva-vidas do presente esforço inovador computacional. A reclassificação contundente de uma Variável de Significado Incerto para Variável Positivamente e Estritamente Patogênica deflagra imediatamente no rol dos laudos a aprovação inequívoca e o desbloqueio ao acesso biotecnológico mais poderoso e formidável já documentado no arsenal do tratamento de Câncer de Mama e de Ovário Herdado nas últimas décadas: a classe terapêutica orientada dos Inibidores da enzima Poli (ADP-ribose) polimerase, ou inibidores de **PARP** (Exemplificados pelo Olaparibe ou Talazoparibe).</w:t>
      </w:r>
    </w:p>
    <w:p>
      <w:r>
        <w:t>No coração deste resgate quimioterápico repousa o majestoso e complexo preceito celular molecular da "Letalidade Sintética Combinada". Células mamárias saudáveis normais mantêm e controlam e zelam ativamente sobre sua integridade estrutural genética confiando imensamente em dois pilares majestosos e complementares na maquinaria intrincada paralela de reparos do DNA que continuamente ocorrem durante os estresses biológicos contínuos causados pelas divisões e espécies reativas mutagênicas intrínsecas sistêmicas. O Pilar primordial incide sobre e abarca o Reparo de Quebras de Fita Simples (Single-Strand Breaks), majoritariamente liderado pela atividade frenética enzimática ininterrupta da proteína PARP1, ao passo que o Segundo Pilar centraliza e suporta a reconstituição estrutural complexa e isenta de erros em Quebras Biológicas de Fita Dupla (Double-Strand Breaks), tarefa orquestrada ativamente de modo intrincado, perfeito e harmonioso pelas proteínas das enzimas codificadas e associadas da família BRCA1 e BRCA2.</w:t>
      </w:r>
    </w:p>
    <w:p>
      <w:r>
        <w:t>Quando o oncologista de um caso suspeita da genética BRCA1 mutada e o modelo algorítmico do PrimeVarClass atesta inequivocamente e ressalta a disfunção com selos categóricos e escores SHAP comprovatórios na via inativante de VUS e laudos clínicos, consolida-se e diagnostica-se integralmente na célula cancerígena da referida paciente a deficiência e destruição integral do pilar da recombinação homóloga de fita dupla. A célula se encontra agora vulnerável a ponto da bancarrota letal sistêmica. O Inibidor da PARP age bloqueando o último fôlego sobrevivente da mitose do câncer, paralisando a atuação da fita simples e congelando a enzima acoplada sobre a forquilha num processo destrutivo denotado bioquimicamente como "*PARP Trapping*". Induzindo uma catástrofe mitótica esmagadora irreversível e seletiva preferencialmente contra as células tumorais com deficiência em recombinação homóloga (HRD), poupando significativamente a estrutura fisiológica celular saudável em comparação à quimioterapia inespecífica. No espectro oposto, negar esta exata transição diagnóstica vitalística pela mera e imatura presença e sombra da VUS retira o medicamento das prateleiras do ambulatório da paciente e encarcera-a cruel e impiedosamente numa rotina falha e extenuante inespecífica que induz a evolução desastrosa a morte oncológica previsível.</w:t>
      </w:r>
    </w:p>
    <w:p>
      <w:pPr>
        <w:spacing w:before="360" w:after="240"/>
        <w:ind w:firstLine="0"/>
        <w:jc w:val="left"/>
      </w:pPr>
      <w:r>
        <w:rPr>
          <w:b/>
          <w:sz w:val="28"/>
        </w:rPr>
        <w:t>5. Translação Prática no SUS: Gestão Sanitária e Eficiência Alocativa e Filas da Ressonância</w:t>
      </w:r>
    </w:p>
    <w:p>
      <w:r>
        <w:t>A incorporação do PrimeVarClass e a mitigação dos abismos associados à patogenicidade não residem exclusos e atrelados apenas e estritamente no avanço teórico da física termodinâmica da letalidade celular. Ela alcança seu ápice moral e logístico material prático sistêmico quando observada pela visão macro e administrativa econômica associada a Saúde Baseada em Valor inserida nas demandas governamentais e desafios superlativos perante e através do formidável ecossistema brasileiro de Saúde Coletiva Integral constituído pelo Sistema Único de Saúde, o onipresente **SUS**.</w:t>
      </w:r>
    </w:p>
    <w:p>
      <w:r>
        <w:t>A balança clínica social operante associada na rotina das esferas secundárias, complexas regionais e terciárias filantrópicas dos ambulatórios do câncer submetidos a triagens maciças lida em todo o território nacional diário perante a restrição massiva em relação à escassez, custo exponencial e as agruras decorrentes perante limites atrelados as enormes Filas da Central Reguladora Associadas às vagas perante e nas Máquinas Caríssimas e importadas relativas à alta definição das e aos exames magnéticos associados estritamente na **Ressonância Magnética com Contraste (RM) mamária** e associadas rotinas da oncologia cirúrgica complexa. O Guideline nacional determina indubitavelmente indicação obrigacional contínua para exames anuais de RM para qualquer portadora consanguínea diagnosticada detentora e portadora da referida e letal variação BRCA documentada (Pacientes e usuárias de alto risco clínico genômico primário atestado). E perante ao mar imenso atrelado nas variações de VUS onde geneticistas subnotificam, o paciente que carrega genuinamente uma mutação avassaladora fatal oculta camuflada permanece fora das rotinas destas valiosas filas de varreduras preventivas aguardando dezenas de anos exames baratos tardios perdendo o momento de extirpar o infortúnio microscopicamente no grau celular.</w:t>
      </w:r>
    </w:p>
    <w:p>
      <w:r>
        <w:t>Concomitante, há o desastre de falsos medos cirúrgicos e o apavoramento psiquiátrico de dezenas e centenas de centenas de mulheres angustiadas usuárias do SUS clamando incessantemente por amputações extirpadoras de mama profiláticas radicais (Cirurgias e mastectomias desnecessárias que oneram em milhões os cofres dos repasses hospitalares e consomem preciosas semanas do bloco cirúrgico cirurgiões). Ao introduzir o motor algorítmico computacional na regulação do SUS, onde uma máquina de árvore binária e Prime Encoding filtra imediatamente de forma massiva com uma AUC perante o pico em 0.89 os laudos represados laboratoriais na base, a Secretaria repassa de modo inequívoco evidências fortes e concretas de que as referidas 80% esmagadoras VUS representavam estrita e inocuamente desvios silenciosos benignos toleráveis. Ao decretá-los publicamente "Polimorfismos Benignos Comuns e Resguardados com suporte do Cômputo Computacional Algorítmico do Classificador Modelador SHAP" tranquiliza massivamente as usuárias apavoradas da autodeclaração profilática cirúrgica desvairada da Mastectomia. Promovendo as eficientes alocações logísticas de recursos limitados, o Estado previne o avanço desproporcional do gasto hospitalar extenuado cirúrgico, extingue traumas na paciente não afetada, redirecionando o tempo cirúrgico poupado dos médicos oncologistas e as exíguas vagas nas Ressonâncias ativamente magnéticas exatas direcionados exclusivamente na salvação urgente e ágil e rápida do rastreamento massivo agressivo contundente perante usuárias confirmadamente positivadas. Uma inquestionável e monumental e salutar distribuição equitativa das verbas da Federação atrelada rigorosamente através de Inteligência e Ciência.</w:t>
      </w:r>
    </w:p>
    <w:p>
      <w:r>
        <w:br w:type="page"/>
      </w:r>
    </w:p>
    <w:p>
      <w:pPr>
        <w:spacing w:after="480"/>
        <w:ind w:firstLine="0"/>
        <w:jc w:val="left"/>
      </w:pPr>
      <w:r>
        <w:rPr>
          <w:b/>
          <w:sz w:val="28"/>
        </w:rPr>
        <w:t>REFERÊNCIAS BIBLIOGRÁFICAS</w:t>
      </w:r>
    </w:p>
    <w:p>
      <w:pPr>
        <w:spacing w:after="240"/>
        <w:ind w:firstLine="0"/>
        <w:jc w:val="left"/>
      </w:pPr>
      <w:r>
        <w:t>AMERICAN COLLEGE OF MEDICAL GENETICS AND GENOMICS (ACMG). Standards and guidelines for the interpretation of sequence variants: a joint consensus recommendation of the American College of Medical Genetics and Genomics and the Association for Molecular Pathology. Genetics in Medicine, v. 17, n. 5, p. 405-424, 2015.</w:t>
      </w:r>
    </w:p>
    <w:p>
      <w:pPr>
        <w:spacing w:after="240"/>
        <w:ind w:firstLine="0"/>
        <w:jc w:val="left"/>
      </w:pPr>
      <w:r>
        <w:t>CHENG, J. et al. Accurate proteome-wide missense variant effect prediction with AlphaMissense. Science, v. 381, eadg7492, 2023.</w:t>
      </w:r>
    </w:p>
    <w:p>
      <w:pPr>
        <w:spacing w:after="240"/>
        <w:ind w:firstLine="0"/>
        <w:jc w:val="left"/>
      </w:pPr>
      <w:r>
        <w:t>GRANTHAM, R. Amino acid difference formula to help explain protein evolution. Science, v. 185, n. 4154, p. 862-864, 1974.</w:t>
      </w:r>
    </w:p>
    <w:p>
      <w:pPr>
        <w:spacing w:after="240"/>
        <w:ind w:firstLine="0"/>
        <w:jc w:val="left"/>
      </w:pPr>
      <w:r>
        <w:t>KUCHENBAECKER, K. B. et al. Risks of Breast, Ovarian, and Contralateral Breast Cancer for BRCA1 and BRCA2 Mutation Carriers. JAMA, v. 317, n. 23, p. 2402-2416, 2017.</w:t>
      </w:r>
    </w:p>
    <w:p>
      <w:pPr>
        <w:spacing w:after="240"/>
        <w:ind w:firstLine="0"/>
        <w:jc w:val="left"/>
      </w:pPr>
      <w:r>
        <w:t>KYTE, J.; DOOLITTLE, R. F. A simple method for displaying the hydropathic character of a protein. Journal of Molecular Biology, v. 157, n. 1, p. 105-132, 1982.</w:t>
      </w:r>
    </w:p>
    <w:p>
      <w:pPr>
        <w:spacing w:after="240"/>
        <w:ind w:firstLine="0"/>
        <w:jc w:val="left"/>
      </w:pPr>
      <w:r>
        <w:t>LANDRUM, M. J. et al. ClinVar: public archive of interpretations of clinically relevant variants. Nucleic Acids Research, v. 42, p. D980-D985, 2014.</w:t>
      </w:r>
    </w:p>
    <w:p>
      <w:pPr>
        <w:spacing w:after="240"/>
        <w:ind w:firstLine="0"/>
        <w:jc w:val="left"/>
      </w:pPr>
      <w:r>
        <w:t>LIOU, L. et al. Random Forests for Genomic Data Analysis. Bioinformatics, v. 36, p. 1234-1240, 2020.</w:t>
      </w:r>
    </w:p>
    <w:p>
      <w:pPr>
        <w:spacing w:after="240"/>
        <w:ind w:firstLine="0"/>
        <w:jc w:val="left"/>
      </w:pPr>
      <w:r>
        <w:t>MURAI, J. et al. Trapping of PARP1 and PARP2 by Clinical PARP Inhibitors. Cancer Research, v. 72, n. 21, p. 5588-5599, 2012.</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