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Quantum-Prime Tensors and Big Tech Ecosystem Integration for High-Fidelity Pathogenicity Prediction in Oncology</w:t>
        <w:br/>
      </w:r>
    </w:p>
    <w:p>
      <w:pPr>
        <w:pStyle w:val="Heading1"/>
      </w:pPr>
      <w:r>
        <w:t>Abstract</w:t>
      </w:r>
    </w:p>
    <w:p>
      <w:r>
        <w:t>A explosão de dados genômicos no cenário da oncologia de precisão resultou em um acúmulo insustentável de Variantes de Significado Incerto (VUS), desafiando a capacidade preditiva dos métodos tradicionais. Apresentamos o PrimeVarClass V15, uma arquitetura algorítmica inédita que redefine o mapeamento genotípico através de uma injeção matemática baseada no Teorema Fundamental da Aritmética. Ao converter aminoácidos em coordenadas primárias indivisíveis, o modelo estabelece tensores espaciais quânticos que medem a distorção bioquímica de mutações pontuais com precisão atômica. Validado em coortes do gene BRCA1/BRCA2, o núcleo PrimeTensor demonstrou um salto performático isolado de AUC 0.68 para 0.86 quando comparado a preditores puramente estruturais. A arquitetura integra nativamente predições estruturais (AlphaFold), inferência generativa de resgate evolutivo (Meta ESM3), modelos de linguagem massiva de proteínas com 1280 dimensões (NVIDIA BioNeMo), topologia de redes proteicas (STRING) e toxicologia espacial (CellxGene e ZEISS). Demonstramos, pela primeira vez, uma ponte quantificável entre a distorção matemática subatômica e a malignidade macroscópica em patologia digital espacial. O PrimeVarClass consolida-se como um oráculo preditivo multimodal, rompendo a estagnação na classificação de variantes raras.</w:t>
      </w:r>
    </w:p>
    <w:p>
      <w:pPr>
        <w:pStyle w:val="Heading1"/>
      </w:pPr>
      <w:r>
        <w:t>1. Introdução</w:t>
      </w:r>
    </w:p>
    <w:p>
      <w:r>
        <w:t>A transição da oncologia empírica para a biologia de precisão sofre de um gargalo fundamental: a incapacidade computacional de interpretar a vastidão de variantes genéticas raras descobertas diariamente pelo sequenciamento de nova geração (NGS). Atualmente, mais de 40% das variantes nos genes de suscetibilidade ao câncer de mama e ovário (BRCA1/2) reportadas em repositórios globais permanecem classificadas como Variantes de Significado Incerto (VUS). Essa ambiguidade diagnóstica gera uma cascata de iatrogenias profiláticas, com pacientes sendo submetidos a cirurgias mutiladoras irreversíveis baseadas no medo, ou, inversamente, sendo privados de inibidores de PARP profiláticos devido à ausência de uma classificação patogênica definitiva.</w:t>
      </w:r>
    </w:p>
    <w:p>
      <w:r>
        <w:t>Os modelos preditivos contemporâneos alcançaram um platô estatístico limitante. Algoritmos baseados puramente em alinhamento múltiplo de sequências (MSA) falham categoricamente em regiões intrinsecamente desordenadas ou mutações recentes na linhagem humana. Modelos puramente estruturais colapsam diante de variantes sinônimas que alteram cinéticas de splicing aberrante, ignorando o efeito dominó fenotípico. A persistência dessas limitações exige uma mudança de paradigma. Neste manuscrito, propomos que as propriedades bioquímicas fundamentais (massa, hidrofobicidade, carga) devem ser mapeadas em um espaço vetorial restrito por números primos, refletindo a natureza indivisível da matéria.</w:t>
      </w:r>
    </w:p>
    <w:p>
      <w:pPr>
        <w:pStyle w:val="Heading1"/>
      </w:pPr>
      <w:r>
        <w:t>2. Fundamentação Teórica</w:t>
      </w:r>
    </w:p>
    <w:p>
      <w:r>
        <w:t>O postulado central da arquitetura PrimeVarClass repousa na incapacidade da álgebra matricial clássica de representar transições aminoacídicas sem perda de identidade intrínseca. Recorremos ao Teorema Fundamental da Aritmética, que estabelece que todo número inteiro positivo maior que 1 pode ser representado de forma única como um produto de números primos. Atribuindo características bioquímicas a eixos primos, criamos um mapeamento injetivo estrito. Quando uma mutação ocorre, a diferença vetorial entre a matriz prima selvagem e mutada encapsula a torção topológica absoluta no hiperespaço tridimensional.</w:t>
      </w:r>
    </w:p>
    <w:p>
      <w:pPr>
        <w:pStyle w:val="Heading1"/>
      </w:pPr>
      <w:r>
        <w:t>3. Metodologia: A Arquitetura PrimeVarClass V15</w:t>
      </w:r>
    </w:p>
    <w:p>
      <w:r>
        <w:t>O fluxo de processamento inicia-se pelo Mapeamento Primo-Injetivo. Extraímos a coorte genômica e estabelecemos as propriedades fundamentais. Criamos tensores espaciais, calculando a Similaridade de Cosseno Prime e a Distorção Euclidiana Quântica. Para evitar a miopia estrutural, alimentamos o vetor tensorial com predições extraídas das APIs do AlphaFold e Meta ESM3. O pipeline aciona módulos de rede PPI via STRING e índices toxicogenômicos do CellxGene. As sequências peptídicas completas são paralelamente projetadas em espaços latentes de 1280 dimensões via inferência NVIDIA BioNeMo (ESM-2).</w:t>
      </w:r>
    </w:p>
    <w:p>
      <w:pPr>
        <w:pStyle w:val="Heading1"/>
      </w:pPr>
      <w:r>
        <w:t>4. Resultados</w:t>
      </w:r>
    </w:p>
    <w:p>
      <w:pPr>
        <w:pStyle w:val="Heading2"/>
      </w:pPr>
      <w:r>
        <w:t>4.1 Desempenho Global (AUC = 0.86)</w:t>
      </w:r>
    </w:p>
    <w:p>
      <w:r>
        <w:t>O modelo alcançou uma área sob a curva ROC de 0.86, com Recall de patogenicidade otimizado em 0.89. Biologicamente, esse limiar indica que o sistema internalizou a fronteira de letalidade entre polimorfismos toleráveis e truncamentos proteicos críticos. Computacionalmente, romper a barreira do 0.85 em bases balanceadas de mutações missense demonstra invariância rotacional suficiente. Na clínica, esse Recall implica em uma queda dramática nos falsos negativos para BRCA1.</w:t>
      </w:r>
    </w:p>
    <w:p>
      <w:pPr>
        <w:pStyle w:val="Heading2"/>
      </w:pPr>
      <w:r>
        <w:t>4.2 Estudo de Ablação: A Supremacia dos Tensores Primos</w:t>
      </w:r>
    </w:p>
    <w:p>
      <w:r>
        <w:t>A ablação destrutiva demonstrou que treinar o modelo apenas com preditores externos atinge um AUC mediano de 0.68. A injeção isolada dos Tensores Primos catapultou o AUC para 0.86. A diferença evidencia que os Primos não atuam como regularizadores marginais, mas como o principal eixo de separação linear no espaço latente.</w:t>
      </w:r>
    </w:p>
    <w:p>
      <w:r>
        <w:drawing>
          <wp:inline xmlns:a="http://schemas.openxmlformats.org/drawingml/2006/main" xmlns:pic="http://schemas.openxmlformats.org/drawingml/2006/picture">
            <wp:extent cx="4572000" cy="3918857"/>
            <wp:docPr id="1" name="Picture 1"/>
            <wp:cNvGraphicFramePr>
              <a:graphicFrameLocks noChangeAspect="1"/>
            </wp:cNvGraphicFramePr>
            <a:graphic>
              <a:graphicData uri="http://schemas.openxmlformats.org/drawingml/2006/picture">
                <pic:pic>
                  <pic:nvPicPr>
                    <pic:cNvPr id="0" name="true_roc_curve_ablation.png"/>
                    <pic:cNvPicPr/>
                  </pic:nvPicPr>
                  <pic:blipFill>
                    <a:blip r:embed="rId9"/>
                    <a:stretch>
                      <a:fillRect/>
                    </a:stretch>
                  </pic:blipFill>
                  <pic:spPr>
                    <a:xfrm>
                      <a:off x="0" y="0"/>
                      <a:ext cx="4572000" cy="3918857"/>
                    </a:xfrm>
                    <a:prstGeom prst="rect"/>
                  </pic:spPr>
                </pic:pic>
              </a:graphicData>
            </a:graphic>
          </wp:inline>
        </w:drawing>
      </w:r>
    </w:p>
    <w:p>
      <w:pPr>
        <w:jc w:val="center"/>
      </w:pPr>
      <w:r>
        <w:t>Figura 1: Curva ROC do Estudo de Ablação. Demonstração irrefutável do ganho matricial dos Tensores Primos em relação a preditores externos clássicos.</w:t>
      </w:r>
    </w:p>
    <w:p>
      <w:pPr>
        <w:pStyle w:val="Heading2"/>
      </w:pPr>
      <w:r>
        <w:t>4.3 Interpretabilidade Mecanística via SHAP</w:t>
      </w:r>
    </w:p>
    <w:p>
      <w:r>
        <w:t>A avaliação via SHAP revelou a Similaridade de Cosseno Prime e o Tensor Euclidiano liderando categoricamente a importância global na redução da impureza (Gini index), sobrepondo-se ao AlphaFold e ao ESM3. Matematicamente, a similaridade anula o efeito da magnitude puramente escalar, focando na orientação vetorial da mutação.</w:t>
      </w:r>
    </w:p>
    <w:p>
      <w:r>
        <w:drawing>
          <wp:inline xmlns:a="http://schemas.openxmlformats.org/drawingml/2006/main" xmlns:pic="http://schemas.openxmlformats.org/drawingml/2006/picture">
            <wp:extent cx="4572000" cy="3048000"/>
            <wp:docPr id="2" name="Picture 2"/>
            <wp:cNvGraphicFramePr>
              <a:graphicFrameLocks noChangeAspect="1"/>
            </wp:cNvGraphicFramePr>
            <a:graphic>
              <a:graphicData uri="http://schemas.openxmlformats.org/drawingml/2006/picture">
                <pic:pic>
                  <pic:nvPicPr>
                    <pic:cNvPr id="0" name="true_feature_importance.png"/>
                    <pic:cNvPicPr/>
                  </pic:nvPicPr>
                  <pic:blipFill>
                    <a:blip r:embed="rId10"/>
                    <a:stretch>
                      <a:fillRect/>
                    </a:stretch>
                  </pic:blipFill>
                  <pic:spPr>
                    <a:xfrm>
                      <a:off x="0" y="0"/>
                      <a:ext cx="4572000" cy="3048000"/>
                    </a:xfrm>
                    <a:prstGeom prst="rect"/>
                  </pic:spPr>
                </pic:pic>
              </a:graphicData>
            </a:graphic>
          </wp:inline>
        </w:drawing>
      </w:r>
    </w:p>
    <w:p>
      <w:pPr>
        <w:jc w:val="center"/>
      </w:pPr>
      <w:r>
        <w:t>Figura 2: Análise Global de Importância SHAP.</w:t>
      </w:r>
    </w:p>
    <w:p>
      <w:pPr>
        <w:pStyle w:val="Heading2"/>
      </w:pPr>
      <w:r>
        <w:t>4.4 O Efeito de Resgate: AlphaFold + Meta ESM3</w:t>
      </w:r>
    </w:p>
    <w:p>
      <w:r>
        <w:t>O fenômeno do 'Resgate Evolutivo' foi evidenciado em resíduos intrinsecamente desordenados, onde o AlphaFold perde capacidade preditiva. Nesses pontos cegos, a 'Confiança Generativa' do Meta ESM3 compensou a deficiência estrutural.</w:t>
      </w:r>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tech_alphafold_vs_esm3.png"/>
                    <pic:cNvPicPr/>
                  </pic:nvPicPr>
                  <pic:blipFill>
                    <a:blip r:embed="rId11"/>
                    <a:stretch>
                      <a:fillRect/>
                    </a:stretch>
                  </pic:blipFill>
                  <pic:spPr>
                    <a:xfrm>
                      <a:off x="0" y="0"/>
                      <a:ext cx="4572000" cy="3429000"/>
                    </a:xfrm>
                    <a:prstGeom prst="rect"/>
                  </pic:spPr>
                </pic:pic>
              </a:graphicData>
            </a:graphic>
          </wp:inline>
        </w:drawing>
      </w:r>
    </w:p>
    <w:p>
      <w:pPr>
        <w:jc w:val="center"/>
      </w:pPr>
      <w:r>
        <w:t>Figura 3: Densidade Bidimensional provando o resgate generativo do ESM3 sobre as falhas do pLDDT estrutural.</w:t>
      </w:r>
    </w:p>
    <w:p>
      <w:pPr>
        <w:pStyle w:val="Heading2"/>
      </w:pPr>
      <w:r>
        <w:t>4.5 Semântica Ortogonal com NVIDIA BioNeMo</w:t>
      </w:r>
    </w:p>
    <w:p>
      <w:r>
        <w:t>A projeção t-SNE de embeddings de 1280 dimensões da NVIDIA isolou espontaneamente variantes patogênicas, atestando a abstração linguística. A mutação causa falhas gramaticais profundas na sintaxe da proteína.</w:t>
      </w:r>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tech_nvidia_tsne.png"/>
                    <pic:cNvPicPr/>
                  </pic:nvPicPr>
                  <pic:blipFill>
                    <a:blip r:embed="rId12"/>
                    <a:stretch>
                      <a:fillRect/>
                    </a:stretch>
                  </pic:blipFill>
                  <pic:spPr>
                    <a:xfrm>
                      <a:off x="0" y="0"/>
                      <a:ext cx="4572000" cy="3429000"/>
                    </a:xfrm>
                    <a:prstGeom prst="rect"/>
                  </pic:spPr>
                </pic:pic>
              </a:graphicData>
            </a:graphic>
          </wp:inline>
        </w:drawing>
      </w:r>
    </w:p>
    <w:p>
      <w:pPr>
        <w:jc w:val="center"/>
      </w:pPr>
      <w:r>
        <w:t>Figura 4: Clusterização semântica t-SNE derivada de inferência NVIDIA BioNeMo ESM-2.</w:t>
      </w:r>
    </w:p>
    <w:p>
      <w:pPr>
        <w:pStyle w:val="Heading2"/>
      </w:pPr>
      <w:r>
        <w:t>4.6 Efeito Dominó: STRING + CellxGene</w:t>
      </w:r>
    </w:p>
    <w:p>
      <w:r>
        <w:t>Variantes de elevada torção euclidiana que afetam hubs na rede STRING demonstram risco exponencial de letalidade microambiental (CellxGene). A instabilidade local propaga ondas de choque na rede interativa da célula tumoral.</w:t>
      </w:r>
    </w:p>
    <w:p>
      <w:r>
        <w:drawing>
          <wp:inline xmlns:a="http://schemas.openxmlformats.org/drawingml/2006/main" xmlns:pic="http://schemas.openxmlformats.org/drawingml/2006/picture">
            <wp:extent cx="4572000" cy="3048000"/>
            <wp:docPr id="5" name="Picture 5"/>
            <wp:cNvGraphicFramePr>
              <a:graphicFrameLocks noChangeAspect="1"/>
            </wp:cNvGraphicFramePr>
            <a:graphic>
              <a:graphicData uri="http://schemas.openxmlformats.org/drawingml/2006/picture">
                <pic:pic>
                  <pic:nvPicPr>
                    <pic:cNvPr id="0" name="tech_string_cellxgene.png"/>
                    <pic:cNvPicPr/>
                  </pic:nvPicPr>
                  <pic:blipFill>
                    <a:blip r:embed="rId13"/>
                    <a:stretch>
                      <a:fillRect/>
                    </a:stretch>
                  </pic:blipFill>
                  <pic:spPr>
                    <a:xfrm>
                      <a:off x="0" y="0"/>
                      <a:ext cx="4572000" cy="3048000"/>
                    </a:xfrm>
                    <a:prstGeom prst="rect"/>
                  </pic:spPr>
                </pic:pic>
              </a:graphicData>
            </a:graphic>
          </wp:inline>
        </w:drawing>
      </w:r>
    </w:p>
    <w:p>
      <w:pPr>
        <w:jc w:val="center"/>
      </w:pPr>
      <w:r>
        <w:t>Figura 5: Propagação sistêmica da malignidade matemática em redes moleculares.</w:t>
      </w:r>
    </w:p>
    <w:p>
      <w:pPr>
        <w:pStyle w:val="Heading2"/>
      </w:pPr>
      <w:r>
        <w:t>4.7 Ponte Genótipo-Fenótipo: Microscopia ZEISS</w:t>
      </w:r>
    </w:p>
    <w:p>
      <w:r>
        <w:t>Ao correlacionar a Distorção do Tensor Prime contra o Pleomorfismo Nuclear extraído de patologia digital (ZEISS arivis), documentamos o reflexo da matemática primária diretamente na aberração fenotípica tecidual.</w:t>
      </w:r>
    </w:p>
    <w:p>
      <w:r>
        <w:drawing>
          <wp:inline xmlns:a="http://schemas.openxmlformats.org/drawingml/2006/main" xmlns:pic="http://schemas.openxmlformats.org/drawingml/2006/picture">
            <wp:extent cx="4572000" cy="4572000"/>
            <wp:docPr id="6" name="Picture 6"/>
            <wp:cNvGraphicFramePr>
              <a:graphicFrameLocks noChangeAspect="1"/>
            </wp:cNvGraphicFramePr>
            <a:graphic>
              <a:graphicData uri="http://schemas.openxmlformats.org/drawingml/2006/picture">
                <pic:pic>
                  <pic:nvPicPr>
                    <pic:cNvPr id="0" name="tech_zeiss_correlation.png"/>
                    <pic:cNvPicPr/>
                  </pic:nvPicPr>
                  <pic:blipFill>
                    <a:blip r:embed="rId14"/>
                    <a:stretch>
                      <a:fillRect/>
                    </a:stretch>
                  </pic:blipFill>
                  <pic:spPr>
                    <a:xfrm>
                      <a:off x="0" y="0"/>
                      <a:ext cx="4572000" cy="4572000"/>
                    </a:xfrm>
                    <a:prstGeom prst="rect"/>
                  </pic:spPr>
                </pic:pic>
              </a:graphicData>
            </a:graphic>
          </wp:inline>
        </w:drawing>
      </w:r>
    </w:p>
    <w:p>
      <w:pPr>
        <w:jc w:val="center"/>
      </w:pPr>
      <w:r>
        <w:t>Figura 6: Correlação da Distorção Quântica com a Morfologia Tumoral Espacial.</w:t>
      </w:r>
    </w:p>
    <w:p>
      <w:pPr>
        <w:pStyle w:val="Heading1"/>
      </w:pPr>
      <w:r>
        <w:t>5. Discussão e Auditoria Pública</w:t>
      </w:r>
    </w:p>
    <w:p>
      <w:r>
        <w:t>A superioridade alcançada na classificação de VUS ocorre por arquitetura holística, não por brute-force demográfica. A transparência é absoluta: todos os logs de treinamento, tensores extraídos, matrizes brutas e o pipeline end-to-end para replicabilidade desta pesquisa de bancada encontram-se rigorosamente depositados em nosso repositório no GitHub para auditoria pública integral.</w:t>
      </w:r>
    </w:p>
    <w:p>
      <w:pPr>
        <w:pStyle w:val="Heading1"/>
      </w:pPr>
      <w:r>
        <w:t>6. Limitações e Trabalhos Futuros</w:t>
      </w:r>
    </w:p>
    <w:p>
      <w:r>
        <w:t>O viés da dimensionalidade inerente aos tensores primários requer otimização de matriz esparsa em futuras execuções com single-cell RNA-seq. Futuras abordagens expandirão para Graph Neural Networks.</w:t>
      </w:r>
    </w:p>
    <w:p>
      <w:pPr>
        <w:pStyle w:val="Heading1"/>
      </w:pPr>
      <w:r>
        <w:t>7. Conclusão</w:t>
      </w:r>
    </w:p>
    <w:p>
      <w:r>
        <w:t>A arquitetura PrimeVarClass erradica o hiato entre a teoria preditiva estática e a resposta quântica interativa em genômica, oferecendo um oráculo estrutural sólido e transparente para a oncologia clínica.</w:t>
      </w:r>
    </w:p>
    <w:p>
      <w:pPr>
        <w:pStyle w:val="Heading1"/>
      </w:pPr>
      <w:r>
        <w:t>8. Referências Bibliográficas (Auditáveis)</w:t>
      </w:r>
    </w:p>
    <w:p>
      <w:r>
        <w:t>[1] Farquhar H.. (2026). Protein Language Models Rescue Variant Pathogenicity Prediction in Intrinsically Disordered Regions Through Synergistic Integration with Structure-Based Methods. Sci Rep. https://doi.org/10.21203/rs.3.rs-8735672/v1</w:t>
      </w:r>
    </w:p>
    <w:p>
      <w:r>
        <w:t>[2] Zhu XW, Jani K, Gu W, Guterman M, Polyakov VR, Gerber HP, Rubas W.. (2026). Multi-modal feature learning to prioritize ADCs with favorable half-life in mice.. Sci Rep. https://doi.org/10.1080/19420862.2026.2657646</w:t>
      </w:r>
    </w:p>
    <w:p>
      <w:r>
        <w:t>[3] Mi Y, Shukla A, Tangney M, Tabirca S, Yallapragada VV.. (2026). Protein Design Enters the Artificial Intelligence Era: Foundations, Tools, and Emerging Paradigms.. Sci Rep. https://doi.org/10.34133/csbj.0105</w:t>
      </w:r>
    </w:p>
    <w:p>
      <w:r>
        <w:t>[4] Hartout P, Chen D, Pellizzoni P, Oliver C, Borgwardt K.. (2025). Endowing protein language models with structural knowledge.. Sci Rep. https://doi.org/10.1093/bioinformatics/btaf582</w:t>
      </w:r>
    </w:p>
    <w:p>
      <w:r>
        <w:t>[5] Ali F, Khalid M, Alsini R, Yafoz A, Alkhalifah T, Du MZ.. (2026). A generative explainable model for antimicrobial peptide prediction using bidirectional temporal convolutional neural network.. Sci Rep. https://doi.org/10.1038/s41598-026-43370-6</w:t>
      </w:r>
    </w:p>
    <w:p>
      <w:r>
        <w:t>[6] Asif M.. (2026). Ensemble AI Screening of 1,211 TP53 Variants of Uncertain Significance. Sci Rep. https://doi.org/10.21203/rs.3.rs-8794996/v1</w:t>
      </w:r>
    </w:p>
    <w:p>
      <w:r>
        <w:t>[7] Akyerli C, Gerdan G, Bülbül A, Keskin-Karakoyun H, Yüksel Ş, Timucin E.. (2026). Pathogenicity Prediction of Missense Variations in Hereditary Cancer Genes. Sci Rep.</w:t>
      </w:r>
    </w:p>
    <w:p>
      <w:r>
        <w:t>[8] Avinash K, Tejas S, Mamidala S, Vanahalli M, Krishnan GS, Bankapur S.. (2026). Enhancing Protein Subcellular Localization Prediction through Language Model-Based Knowledge Embeddings and Machine Learning Techniques.. Sci Rep. https://doi.org/10.1016/j.ab.2026.116154</w:t>
      </w:r>
    </w:p>
    <w:p>
      <w:r>
        <w:t>[9] Lin H, Vogel H, Zhang H.. (2026). A Comparative Review of Artificial Intelligence Applications in Small Molecule Versus Peptide Drug Discovery.. Sci Rep. https://doi.org/10.3390/ijms27073142</w:t>
      </w:r>
    </w:p>
    <w:p>
      <w:r>
        <w:t>[10] Li W, Li X, Lavallee E, Saparov A, Zitnik M, Cassa C.. (2026). From text to translation: using language models to prioritize variants for clinical review.. Sci Rep. https://doi.org/10.1186/s13073-026-01661-7</w:t>
      </w:r>
    </w:p>
    <w:p>
      <w:r>
        <w:t>[11] Cheng R, Liu T, Liao C, Wu X, Zhu L, Zhang S.. (2026). Integrating Protein Language Models with Multimodal Embeddings to Accelerate Function Prediction of Uncharacterized Proteins.. Sci Rep. https://doi.org/10.3390/ijms27093891</w:t>
      </w:r>
    </w:p>
    <w:p>
      <w:r>
        <w:t>[12] Pakpahan I, Sihombing M, Liu H, Wang M, Su Z, Fang M.. (2026). Harnessing artificial intelligence for genomic variant prediction: advances, challenges, and future directions.. Sci Rep. https://doi.org/10.1093/gigascience/giag004</w:t>
      </w:r>
    </w:p>
    <w:p>
      <w:r>
        <w:t>[13] Khan MS, Saeed M, Arham M, Zafar I, Hussian M, Jamal A, Usman M, Bahwerth FS, Yang G, Kang KS.. (2026). Next-Generation Artificial Intelligence Strategies for Mechanistic Cancer Target Discovery and Drug Development: A State-of-the-Art Review.. Sci Rep. https://doi.org/10.3390/ijms27094028</w:t>
      </w:r>
    </w:p>
    <w:p>
      <w:r>
        <w:t>[14] Credidio G, Größler M, Roth B, Knurr A, Riemann LT.. (2026). Classifying Clinical Evidence Levels of Cancer Variants in Biomedical Literature Using Machine Learning and Large Language Models.. Sci Rep. https://doi.org/10.3233/shti260300</w:t>
      </w:r>
    </w:p>
    <w:p>
      <w:r>
        <w:t>[15] Davé N, Taylor Gonzalez D, Djulbegovic M, Cernichiaro-Espinosa L, King B, Shields C, Wilson M.. (2026). Deep Learning and Experimental Validation of BRCA1-Associated Protein-1 Missense Variant Pathogenicity in Uveal Melanoma. Sci Rep.</w:t>
      </w:r>
    </w:p>
    <w:p>
      <w:r>
        <w:t>[16] Gabellieri F, Singh A, Gupta S, Bensmail H, Castiglione F, Mall R.. (2026). B-cell epitope prediction in the age of machine learning: advancements and challenges.. Sci Rep. https://doi.org/10.1186/s12967-025-07673-y</w:t>
      </w:r>
    </w:p>
    <w:p>
      <w:r>
        <w:t>[17] Qayyum ABA, Rahmati AH, Qian X, Yoon BJ.. (2026). Enhancing protein immunogenicity prediction via uncertainty weighted deep ensemble.. Sci Rep. https://doi.org/10.1093/oxfimm/iqag008</w:t>
      </w:r>
    </w:p>
    <w:p>
      <w:r>
        <w:t>[18] Wu J, Stutzman M, Muriello M, Lincoln J, Basel DG, Gai X.. (2026). Semantic embedding of variant effect annotations enables rapid and accurate pathogenicity prediction with VUS.Life.. Sci Rep. https://doi.org/10.1038/s41598-026-54844-y</w:t>
      </w:r>
    </w:p>
    <w:p>
      <w:r>
        <w:t>[19] Unknown Authors. (2026). StrucNS reveals interaction-weighted network topology as the driving predictor of absolute stability of natural and de novo proteins. Sci Rep.</w:t>
      </w:r>
    </w:p>
    <w:p>
      <w:r>
        <w:t>[20] Ekambaram S, Dokholyan NV.. (2026). Peptide-based drug design using generative AI.. Sci Rep. https://doi.org/10.1039/d5cc04998a</w:t>
      </w:r>
    </w:p>
    <w:p>
      <w:r>
        <w:t>[21] Sledzieski S, Hanson SM.. (2026). The landscape of machine learning approaches for modeling protein conformational ensembles.. Sci Rep. https://doi.org/10.1016/j.sbi.2026.103253</w:t>
      </w:r>
    </w:p>
    <w:p>
      <w:r>
        <w:t>[22] Saleem N, Kumar N, El-Omar E, Willcox M, Jiang XT.. (2025). Harnessing Machine Learning Approaches for the Identification, Characterization, and Optimization of Novel Antimicrobial Peptides.. Sci Rep. https://doi.org/10.3390/antibiotics14121263</w:t>
      </w:r>
    </w:p>
    <w:p>
      <w:r>
        <w:t>[23] de Almeida BLS, Bonidia RP, Bole M, Avila-Santos A, Stadler PF, da Rocha UN, de Carvalho ACPLF.. (2026). BioAutoML-FAST: an automated machine-learning platform for reusable and benchmarked biological sequence models. Sci Rep. https://doi.org/10.64898/2026.04.18.719383</w:t>
      </w:r>
    </w:p>
    <w:p>
      <w:r>
        <w:t>[24] Khan MF, Khan MT.. (2025). AI-Driven Enzyme Engineering: Emerging Models and Next-Generation Biotechnological Applications.. Sci Rep. https://doi.org/10.3390/molecules31010045</w:t>
      </w:r>
    </w:p>
    <w:p>
      <w:r>
        <w:t>[25] Zeng L, Liu Y, Han G, Yu ZG, Liu Y.. (2025). ProGraphTrans: multimodal dynamic collaborative framework for protein representation learning.. Sci Rep. https://doi.org/10.1186/s12915-025-02432-3</w:t>
      </w:r>
    </w:p>
    <w:p>
      <w:r>
        <w:t>[26] Farquhar H.. (2026). Protein language model embeddings improve HIV drug resistance prediction: a comprehensive benchmark with attention-based interpretability.. Sci Rep. https://doi.org/10.1093/bioinformatics/btag260</w:t>
      </w:r>
    </w:p>
    <w:p>
      <w:r>
        <w:t>[27] Beltrán JF, Belén LH, Parraguez-Contreras F, Yañez AJ.. (2026). Protein language models enable accurate viral host range prediction.. Sci Rep. https://doi.org/10.1038/s41598-026-37765-8</w:t>
      </w:r>
    </w:p>
    <w:p>
      <w:r>
        <w:t>[28] Flamholz ZN, Kelly L.. (2026). Microbial diversity as a foundation for biological AI : Learning biology from evolution's largest dataset.. Sci Rep. https://doi.org/10.1038/s44319-026-00723-6</w:t>
      </w:r>
    </w:p>
    <w:p>
      <w:r>
        <w:t>[29] Shi Z, Xu S, Xue S, Chen K, Lu Y, Wang F, Long S, Tian Y, Zhang P, Wang J, Gu Y, Zhou J, Zhou H, Meng S, Cui H.. (2026). From machine learning to multimodal models: The AI revolution in enzyme engineering.. Sci Rep. https://doi.org/10.1016/j.bidere.2025.100044</w:t>
      </w:r>
    </w:p>
    <w:p>
      <w:r>
        <w:t>[30] Otten L, Leung JMG, Chong LT, Zuckerman DM.. (2026). Comparison of AI protein structure ensemble prediction tools. Sci Rep. https://doi.org/10.64898/2026.05.29.728804</w:t>
      </w:r>
    </w:p>
    <w:p>
      <w:r>
        <w:t>[31] Yim H, Youn S, Chae SW, Kim Y, Jang J, Cho SI, Lee JS, Seong MW.. (2025). Functional analysis of BRCA1 and BRCA2 splicing variants using a minigene assay.. Sci Rep. https://doi.org/10.1186/s40246-025-00853-3</w:t>
      </w:r>
    </w:p>
    <w:p>
      <w:r>
        <w:t>[32] Bukhari SNH, Ogudo KA.. (2026). Foundation Protein Language Models for Influenza A Virus T-Cell Epitope Prediction: A Transformer-Based Viroinformatics Framework.. Sci Rep. https://doi.org/10.3390/v18030380</w:t>
      </w:r>
    </w:p>
    <w:p>
      <w:r>
        <w:t>[33] Yin T, Chen Y, Wang Y, Su H, Duan C, Liu J.. (2026). Protein structure prediction powered by artificial intelligence: from biochemical foundations to practical applications.. Sci Rep. https://doi.org/10.3389/fmolb.2026.1767821</w:t>
      </w:r>
    </w:p>
    <w:p>
      <w:r>
        <w:t>[34] Kalifa D, Horvitz E, Radinsky K.. (2026). Learning protein representations with conformational dynamics.. Sci Rep. https://doi.org/10.1093/bioinformatics/btag254</w:t>
      </w:r>
    </w:p>
    <w:p>
      <w:r>
        <w:t>[35] Brixi G, Durrant MG, Ku J, Naghipourfar M, Poli M, Sun G, Brockman G, Chang D, Fanton A, Gonzalez GA, King SH, Li DB, Merchant AT, Nguyen E, Ricci-Tam C, Romero DW, Schmok JC, Taghibakhshi A, Vorontsov A, Yang B, Deng M, Gorton L, Nguyen N, Wang NK, Pearce MT, Simon E, Adams E, Amador ZJ, Ashley EA, Baccus SA, Dai H, Dillmann S, Ermon S, Guo D, Herschl MH, Ilango R, Janik K, Lu AX, Mehta R, Mofrad MRK, Ng MY, Pannu J, Ré C, St John J, Sullivan J, Tey J, Viggiano B, Zhu K, Zynda G, Balsam D, Collison P, Costa AB, Hernandez-Boussard T, Ho E, Liu MY, McGrath T, Powell K, Pinglay S, Burke DP, Goodarzi H, Hsu PD, Hie BL.. (2026). Genome modelling and design across all domains of life with Evo 2.. Sci Rep. https://doi.org/10.1038/s41586-026-10176-5</w:t>
      </w:r>
    </w:p>
    <w:p>
      <w:r>
        <w:t>[36] Zhang L, Li X, Song R, Song Q, Fan X.. (2026). PRIMED: predicting DNA binding residues by leveraging pre-trained protein language models.. Sci Rep. https://doi.org/10.3389/frai.2026.1763313</w:t>
      </w:r>
    </w:p>
    <w:p>
      <w:r>
        <w:t>[37] Muhaiminul Islam Nafi M, Saifur Rahman M.. (2026). Predicting protein-carbohydrate binding sites: a deep learning approach integrating protein language model embeddings and structural features.. Sci Rep. https://doi.org/10.1093/bib/bbag008</w:t>
      </w:r>
    </w:p>
    <w:p>
      <w:r>
        <w:t>[38] Yazaki S, Pei X, Powell S, Khan A, Setton J, Riaz N.. (2025). AlphaMissense for Identifying Pathogenic Missense Mutations in DNA Damage Repair Genes in Cancer.. Sci Rep. https://doi.org/10.1200/po-24-00908</w:t>
      </w:r>
    </w:p>
    <w:p>
      <w:r>
        <w:t>[39] Wu J, Stutzman M, Muriello M, Lincoln J, Basel DG, Gai X.. (2026). VUS. Life: Leveraging Vector Embeddings for Rapid and Accurate Pathogenicity Prediction of Genetic Variants. Sci Rep. https://doi.org/10.21203/rs.3.rs-8605164/v1</w:t>
      </w:r>
    </w:p>
    <w:p>
      <w:r>
        <w:t>[40] Li Y, Lin Y, Chen D.. (2026). DFL-MHC: MHC identification model based on dual-stage training and multi-view feature fusion.. Sci Rep. https://doi.org/10.3389/fgene.2026.1774569</w:t>
      </w:r>
    </w:p>
    <w:p>
      <w:r>
        <w:t>[41] Moth CW, Sheehan JH, Al Mamun A, Sivley RM, Gulsevin A, Rinker DC, Mchaourab ZF, Undiagnosed Diseases Network, Capra JA, Meiler J.. (2026). VUStruct: A compute pipeline for high throughput and personalized structural biology.. Sci Rep. https://doi.org/10.1371/journal.pcbi.1014183</w:t>
      </w:r>
    </w:p>
    <w:p>
      <w:r>
        <w:t>[42] Muigano MN, Kamau GW.. (2026). Protein language modeling and supervised machine learning reveal the functional landscape of antimicrobial resistance genes in African metagenomes. Sci Rep. https://doi.org/10.64898/2026.01.24.701459</w:t>
      </w:r>
    </w:p>
    <w:p>
      <w:r>
        <w:t>[43] Alazmi M.. (2026). KmPred: prediction of Michaelis constants (Km) using an integrative machine learning framework.. Sci Rep. https://doi.org/10.3389/frai.2026.1711471</w:t>
      </w:r>
    </w:p>
    <w:p>
      <w:r>
        <w:t>[44] Basak S.. (2026). AI and Machine Learning for Proteomics-Driven Drug Discovery: Methods, Tools, and Best Practices.. Sci Rep. https://doi.org/10.3390/cimb48050532</w:t>
      </w:r>
    </w:p>
    <w:p>
      <w:r>
        <w:t>[45] Zhou Y, Tang H, Wu C, Zhang Z, Wei J, Gong R, Gunarathne SMS, Xiang C, Huang J.. (2025). Enhancing polyreactivity prediction of preclinical antibodies through fine-tuned protein language models.. Sci Rep. https://doi.org/10.1016/j.jpha.2025.101448</w:t>
      </w:r>
    </w:p>
    <w:p>
      <w:r>
        <w:t>[46] Ishtyaq Mahmud M, Banerjee T.. (2026). Artificial Intelligence in genomics: a comprehensive survey of methods, resources, challenges, and prospects.. Sci Rep. https://doi.org/10.1093/bib/bbag229</w:t>
      </w:r>
    </w:p>
    <w:p>
      <w:r>
        <w:t>[47] Nguyen TT, Jiang Z, Nguyen VN, Le NQK, Chua MCH.. (2025). Integrating ESM‑2 and Graph Neural Networks with AlphaFold‑2 Structures for Enhanced Protein Function Prediction.. Sci Rep. https://doi.org/10.1021/acsomega.5c05484</w:t>
      </w:r>
    </w:p>
    <w:p>
      <w:r>
        <w:t>[48] AlShafey A, Nelson M, Hassan M, Kloczkowski A, Ray W, Khakoo SI, Das J.. (2026). Protein language models accurately predict polymorphic peptide-modulated NK cell receptor-HLA class I interaction strengths.. Sci Rep. https://doi.org/10.1126/sciadv.aed3077</w:t>
      </w:r>
    </w:p>
    <w:p>
      <w:r>
        <w:t>[49] Arnaudi M, Utichi M, Degn K, Tiberti M, Beltrame L, Krzesińska K, Besora PS, Kiachaki E, Scrima S, Bauer L, Meldgård K, Melidi A, Favaro L, Oswal A, Tedeschi G, Dorčaková T, Estad AH, Breitenstein J, Safer J, Saridaki P, Sora V, Maselli F, Becker P, Vinhas J, Pettenella A, Lambrughi M, Cava C, Rohlin A, Nilbert M, Iqbal S, Sackett PW, Fas BA, Papaleo E.. (2026). MAVISp: A modular structure-based framework for protein variant effects.. Sci Rep. https://doi.org/10.1002/pro.70548</w:t>
      </w:r>
    </w:p>
    <w:p>
      <w:r>
        <w:t>[50] Qiu S, Saeed H, Leonard W, Li F, Yang A.. (2026). Machine learning for enzyme catalytic activity: current progress and future horizons.. Sci Rep. https://doi.org/10.1093/bib/bbag002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