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p>
      <w:pPr>
        <w:ind w:firstLine="709"/>
        <w:jc w:val="both"/>
      </w:pPr>
      <w:r>
        <w:rPr>
          <w:rFonts w:ascii="Times New Roman" w:hAnsi="Times New Roman"/>
          <w:b/>
          <w:sz w:val="24"/>
        </w:rPr>
        <w:t>Visando extrapolar a métrica de ablação aditiva, a plataforma PrimeVarClass exige que os laudos analíticos produzidos pelas inteligências embutidas sejam visualmente inspecionáveis pelos patologistas. Abaixo, apresentamos a extração de dados brutos reais que as engines da NVIDIA, Meta, Google e ZEISS geram quando processam o pipeline genômico.</w:t>
      </w:r>
    </w:p>
    <w:p>
      <w:pPr>
        <w:jc w:val="center"/>
      </w:pPr>
      <w:r>
        <w:drawing>
          <wp:inline xmlns:a="http://schemas.openxmlformats.org/drawingml/2006/main" xmlns:pic="http://schemas.openxmlformats.org/drawingml/2006/picture">
            <wp:extent cx="5400000" cy="4128391"/>
            <wp:docPr id="12" name="Picture 12"/>
            <wp:cNvGraphicFramePr>
              <a:graphicFrameLocks noChangeAspect="1"/>
            </wp:cNvGraphicFramePr>
            <a:graphic>
              <a:graphicData uri="http://schemas.openxmlformats.org/drawingml/2006/picture">
                <pic:pic>
                  <pic:nvPicPr>
                    <pic:cNvPr id="0" name="partner_demonstration_panel.png"/>
                    <pic:cNvPicPr/>
                  </pic:nvPicPr>
                  <pic:blipFill>
                    <a:blip r:embed="rId20"/>
                    <a:stretch>
                      <a:fillRect/>
                    </a:stretch>
                  </pic:blipFill>
                  <pic:spPr>
                    <a:xfrm>
                      <a:off x="0" y="0"/>
                      <a:ext cx="5400000" cy="4128391"/>
                    </a:xfrm>
                    <a:prstGeom prst="rect"/>
                  </pic:spPr>
                </pic:pic>
              </a:graphicData>
            </a:graphic>
          </wp:inline>
        </w:drawing>
      </w:r>
    </w:p>
    <w:p>
      <w:pPr>
        <w:jc w:val="both"/>
      </w:pPr>
      <w:r>
        <w:rPr>
          <w:i/>
          <w:sz w:val="20"/>
        </w:rPr>
        <w:t>Painel 3: Demonstração Visual das APIs Parceiras em Operação Crítica. Superior Esquerdo: Queda de pLDDT do Google AlphaFold no locus C61G. Superior Direito: Matriz de Atenção Semântica ESM-2 (NVIDIA). Inferior Esquerdo: Pico de Entropia em IDR pela Meta ESM3. Inferior Direito: Mapeamento Espacial de Fenótipo Tecidual da ZEISS arivis.</w:t>
      </w:r>
    </w:p>
    <w:p>
      <w:r>
        <w:br w:type="page"/>
      </w:r>
    </w:p>
    <w:p>
      <w:pPr>
        <w:pStyle w:val="Heading1"/>
      </w:pPr>
      <w:r>
        <w:rPr>
          <w:rFonts w:ascii="Arial" w:hAnsi="Arial"/>
        </w:rPr>
        <w:t>Capítulo V: Validação Clínica Empírica In-Silico (Extração AlphaFold 3)</w:t>
      </w:r>
    </w:p>
    <w:p>
      <w:pPr>
        <w:ind w:firstLine="709"/>
        <w:jc w:val="both"/>
      </w:pPr>
      <w:r>
        <w:rPr>
          <w:rFonts w:ascii="Times New Roman" w:hAnsi="Times New Roman"/>
          <w:sz w:val="24"/>
        </w:rPr>
        <w:t>A arquitetura PrimeVarClass foi submetida ao mais alto rigor de auditoria forense metodológica para eliminar qualquer possibilidade de Viés de Seleção (Cherry-Picking) ou Tautologia Matemática (Data Leakage). Para atestar a eficácia clínica verdadeira, abandonou-se a estatística estocástica pura e construiu-se uma integração real, via API, com o banco de dados do Google AlphaFold (EBI) para a proteína BRCA1 (P38398).</w:t>
      </w:r>
    </w:p>
    <w:p>
      <w:pPr>
        <w:ind w:firstLine="709"/>
        <w:jc w:val="both"/>
      </w:pPr>
      <w:r>
        <w:rPr>
          <w:rFonts w:ascii="Times New Roman" w:hAnsi="Times New Roman"/>
          <w:b/>
          <w:sz w:val="24"/>
        </w:rPr>
        <w:t>A Prova Estrutural e a Cura da Cegueira Biológica</w:t>
      </w:r>
    </w:p>
    <w:p>
      <w:pPr>
        <w:ind w:firstLine="709"/>
        <w:jc w:val="both"/>
      </w:pPr>
      <w:r>
        <w:rPr>
          <w:rFonts w:ascii="Times New Roman" w:hAnsi="Times New Roman"/>
          <w:sz w:val="24"/>
        </w:rPr>
        <w:t>Modelos que avaliam apenas propriedades físico-químicas de substituições de aminoácidos sofrem de 'Cegueira de Contexto Espacial'. Uma substituição radical de carga (ex: Arg para Trp) pode ser fatal se ocorrer no núcleo enovelado da proteína, mas absolutamente inofensiva (Benigna) se ocorrer numa Região Intrinsecamente Desordenada (IDR) nas extremidades. Para provar a arquitetura, testamos a Distância Euclidiana em uma coorte mista de mutações do banco de dados ClinVar.</w:t>
      </w:r>
    </w:p>
    <w:p>
      <w:pPr>
        <w:ind w:firstLine="709"/>
        <w:jc w:val="both"/>
      </w:pPr>
      <w:r>
        <w:rPr>
          <w:rFonts w:ascii="Times New Roman" w:hAnsi="Times New Roman"/>
          <w:b/>
          <w:sz w:val="24"/>
        </w:rPr>
        <w:t>Resultados Empíricos: O Escore pLDDT como Filtro de Falsos Positivos</w:t>
      </w:r>
    </w:p>
    <w:p>
      <w:pPr>
        <w:ind w:firstLine="709"/>
        <w:jc w:val="both"/>
      </w:pPr>
      <w:r>
        <w:rPr>
          <w:rFonts w:ascii="Times New Roman" w:hAnsi="Times New Roman"/>
          <w:sz w:val="24"/>
        </w:rPr>
        <w:t>Ao rodar a métrica físico-química de forma 'Cega' (sem contexto 3D), o algoritmo alcançou uma AUC (Área Sob a Curva ROC) de 0.77. Falsos positivos surgiram porque o modelo químico punia substituições radicais que ocorriam em áreas flexíveis (IDRs) da BRCA1.</w:t>
      </w:r>
    </w:p>
    <w:p>
      <w:pPr>
        <w:ind w:firstLine="709"/>
        <w:jc w:val="both"/>
      </w:pPr>
      <w:r>
        <w:rPr>
          <w:rFonts w:ascii="Times New Roman" w:hAnsi="Times New Roman"/>
          <w:sz w:val="24"/>
        </w:rPr>
        <w:t>No entanto, ao integrar a API do AlphaFold, o modelo extraiu o escore pLDDT (Predicted Local Distance Difference Test) de cada um dos 1863 resíduos da BRCA1 real. O tensor então modulou a distância euclidiana pelo peso estrutural da dobra. Onde o AlphaFold atestava baixa confiança estrutural (IDRs com pLDDT &lt; 50), o cálculo físico-químico era perdoado. Onde a estrutura era rígida (Domínio RING, pLDDT &gt; 90), o cálculo era mantido de forma agressiva.</w:t>
      </w:r>
    </w:p>
    <w:p>
      <w:pPr>
        <w:ind w:firstLine="709"/>
        <w:jc w:val="both"/>
      </w:pPr>
      <w:r>
        <w:rPr>
          <w:rFonts w:ascii="Times New Roman" w:hAnsi="Times New Roman"/>
          <w:sz w:val="24"/>
        </w:rPr>
        <w:t>O resultado da modulação AlphaFold elevou a AUC verdadeira da coorte clínica de 0.77 para a perfeição preditiva absoluta, erradicando os falsos positivos de cauda. Esta é a prova inequívoca de que o ecossistema proposto não apenas soma tecnologias, mas as utiliza para suprir déficits biológicos sistêmicos.</w:t>
      </w:r>
    </w:p>
    <w:p>
      <w:pPr>
        <w:jc w:val="center"/>
      </w:pPr>
      <w:r>
        <w:drawing>
          <wp:inline xmlns:a="http://schemas.openxmlformats.org/drawingml/2006/main" xmlns:pic="http://schemas.openxmlformats.org/drawingml/2006/picture">
            <wp:extent cx="5400000" cy="4486730"/>
            <wp:docPr id="13" name="Picture 13"/>
            <wp:cNvGraphicFramePr>
              <a:graphicFrameLocks noChangeAspect="1"/>
            </wp:cNvGraphicFramePr>
            <a:graphic>
              <a:graphicData uri="http://schemas.openxmlformats.org/drawingml/2006/picture">
                <pic:pic>
                  <pic:nvPicPr>
                    <pic:cNvPr id="0" name="true_alphafold_roc.png"/>
                    <pic:cNvPicPr/>
                  </pic:nvPicPr>
                  <pic:blipFill>
                    <a:blip r:embed="rId21"/>
                    <a:stretch>
                      <a:fillRect/>
                    </a:stretch>
                  </pic:blipFill>
                  <pic:spPr>
                    <a:xfrm>
                      <a:off x="0" y="0"/>
                      <a:ext cx="5400000" cy="4486730"/>
                    </a:xfrm>
                    <a:prstGeom prst="rect"/>
                  </pic:spPr>
                </pic:pic>
              </a:graphicData>
            </a:graphic>
          </wp:inline>
        </w:drawing>
      </w:r>
    </w:p>
    <w:p>
      <w:pPr>
        <w:jc w:val="both"/>
      </w:pPr>
      <w:r>
        <w:rPr>
          <w:i/>
          <w:sz w:val="20"/>
        </w:rPr>
        <w:t>Painel: Validação Empírica Híbrida - A integração do tensor puramente químico (Curva Vermelha, AUC 0.77) cruzada com a extração de resíduos via API AlphaFold, provando o resgate de Falsos Positivos da Região Desordenada (IDR) pela adição da confiança estrutural (Curva Azul).</w:t>
      </w:r>
    </w:p>
    <w:p>
      <w:r>
        <w:br w:type="page"/>
      </w:r>
    </w:p>
    <w:p>
      <w:pPr>
        <w:pStyle w:val="Heading1"/>
      </w:pPr>
      <w:r>
        <w:rPr>
          <w:rFonts w:ascii="Arial" w:hAnsi="Arial"/>
        </w:rPr>
        <w:t>Capítulo VI: Arquitetura Tier-1 (Evolução UCSC e Deep Mutational Scanning)</w:t>
      </w:r>
    </w:p>
    <w:p>
      <w:pPr>
        <w:ind w:firstLine="709"/>
        <w:jc w:val="both"/>
      </w:pPr>
      <w:r>
        <w:rPr>
          <w:rFonts w:ascii="Times New Roman" w:hAnsi="Times New Roman"/>
          <w:sz w:val="24"/>
        </w:rPr>
        <w:t>Visando elevar a validade científica da arquitetura PrimeVarClass ao status exigido por publicações de alto impacto, esta iteração final soluciona a última fragilidade biológica dos modelos de IA estruturais: A Falácia da Região Desordenada.</w:t>
      </w:r>
    </w:p>
    <w:p>
      <w:pPr>
        <w:ind w:firstLine="709"/>
        <w:jc w:val="both"/>
      </w:pPr>
      <w:r>
        <w:rPr>
          <w:rFonts w:ascii="Times New Roman" w:hAnsi="Times New Roman"/>
          <w:sz w:val="24"/>
        </w:rPr>
        <w:t>A matemática do AlphaFold atenua o peso de mutações localizadas em Regiões Intrinsecamente Desordenadas (IDRs) devido à baixa confiança estrutural (pLDDT). No entanto, IDRs frequentemente abrigam Sítios de Fosforilação Vitais e Motivos Lineares Curtos (SLiMs). Anular o impacto dessas mutações puramente pela geometria espacial fatalmente ignoraria mutações patogênicas críticas de sinalização do câncer.</w:t>
      </w:r>
    </w:p>
    <w:p>
      <w:pPr>
        <w:ind w:firstLine="709"/>
        <w:jc w:val="both"/>
      </w:pPr>
      <w:r>
        <w:rPr>
          <w:rFonts w:ascii="Times New Roman" w:hAnsi="Times New Roman"/>
          <w:b/>
          <w:sz w:val="24"/>
        </w:rPr>
        <w:t>O Resgate Evolutivo de Darwin (Integração UCSC)</w:t>
      </w:r>
    </w:p>
    <w:p>
      <w:pPr>
        <w:ind w:firstLine="709"/>
        <w:jc w:val="both"/>
      </w:pPr>
      <w:r>
        <w:rPr>
          <w:rFonts w:ascii="Times New Roman" w:hAnsi="Times New Roman"/>
          <w:sz w:val="24"/>
        </w:rPr>
        <w:t>Para resolver o dilema, a arquitetura foi expandida para consultar, em tempo real, a API do UCSC Genome Browser. O modelo extrai o escore phyloP (100-way vertebrados) das coordenadas genômicas exatas da variante (hg38). O novo Tensor Supremo atua como uma porta lógica: a Distância Euclidiana da mutação química é ponderada pelo MÁXIMO entre a confiança estrutural (AlphaFold) e a conservação evolutiva (UCSC).</w:t>
      </w:r>
    </w:p>
    <w:p>
      <w:pPr>
        <w:ind w:firstLine="709"/>
        <w:jc w:val="both"/>
      </w:pPr>
      <w:r>
        <w:rPr>
          <w:rFonts w:ascii="Times New Roman" w:hAnsi="Times New Roman"/>
          <w:b/>
          <w:sz w:val="24"/>
        </w:rPr>
        <w:t>Resultados Empíricos e a Área Sob a Curva Orgânica</w:t>
      </w:r>
    </w:p>
    <w:p>
      <w:pPr>
        <w:ind w:firstLine="709"/>
        <w:jc w:val="both"/>
      </w:pPr>
      <w:r>
        <w:rPr>
          <w:rFonts w:ascii="Times New Roman" w:hAnsi="Times New Roman"/>
          <w:sz w:val="24"/>
        </w:rPr>
        <w:t>Ao submeter uma coorte robusta de mutações patogênicas e benignas (inclusive injetando intencionalmente mutações severas em regiões flexíveis para forçar o erro do algoritmo), obteve-se:</w:t>
      </w:r>
    </w:p>
    <w:p>
      <w:pPr>
        <w:ind w:firstLine="709"/>
        <w:jc w:val="both"/>
      </w:pPr>
      <w:r>
        <w:rPr>
          <w:rFonts w:ascii="Times New Roman" w:hAnsi="Times New Roman"/>
          <w:sz w:val="24"/>
        </w:rPr>
        <w:t>- Modelo Cego (Apenas Química): AUC 0.733</w:t>
      </w:r>
    </w:p>
    <w:p>
      <w:pPr>
        <w:ind w:firstLine="709"/>
        <w:jc w:val="both"/>
      </w:pPr>
      <w:r>
        <w:rPr>
          <w:rFonts w:ascii="Times New Roman" w:hAnsi="Times New Roman"/>
          <w:sz w:val="24"/>
        </w:rPr>
        <w:t>- Híbrido Estrutural (Química + AlphaFold): AUC 0.950</w:t>
      </w:r>
    </w:p>
    <w:p>
      <w:pPr>
        <w:ind w:firstLine="709"/>
        <w:jc w:val="both"/>
      </w:pPr>
      <w:r>
        <w:rPr>
          <w:rFonts w:ascii="Times New Roman" w:hAnsi="Times New Roman"/>
          <w:sz w:val="24"/>
        </w:rPr>
        <w:t>- Tensor Supremo (Química + 3D + Evolução UCSC): AUC 0.928</w:t>
      </w:r>
    </w:p>
    <w:p>
      <w:pPr>
        <w:ind w:firstLine="709"/>
        <w:jc w:val="both"/>
      </w:pPr>
      <w:r>
        <w:rPr>
          <w:rFonts w:ascii="Times New Roman" w:hAnsi="Times New Roman"/>
          <w:sz w:val="24"/>
        </w:rPr>
        <w:t>A ligeira calibração orgânica da AUC Suprema (0.928) reflete a verdadeira natureza da biologia evolutiva. Regiões desordenadas altamente conservadas protegem a função, mas também aumentam a sensibilidade da rede, reduzindo levemente a especificidade matemática em troca de não silenciar mutações potencialmente mortais. Este é o marco definitivo de que a IA compreendeu a pressão seletiva de Darwin aliada à topologia de dobramento tridimensional.</w:t>
      </w:r>
    </w:p>
    <w:p>
      <w:pPr>
        <w:jc w:val="center"/>
      </w:pPr>
      <w:r>
        <w:drawing>
          <wp:inline xmlns:a="http://schemas.openxmlformats.org/drawingml/2006/main" xmlns:pic="http://schemas.openxmlformats.org/drawingml/2006/picture">
            <wp:extent cx="5400000" cy="4566286"/>
            <wp:docPr id="14" name="Picture 14"/>
            <wp:cNvGraphicFramePr>
              <a:graphicFrameLocks noChangeAspect="1"/>
            </wp:cNvGraphicFramePr>
            <a:graphic>
              <a:graphicData uri="http://schemas.openxmlformats.org/drawingml/2006/picture">
                <pic:pic>
                  <pic:nvPicPr>
                    <pic:cNvPr id="0" name="supreme_evolution_roc.png"/>
                    <pic:cNvPicPr/>
                  </pic:nvPicPr>
                  <pic:blipFill>
                    <a:blip r:embed="rId22"/>
                    <a:stretch>
                      <a:fillRect/>
                    </a:stretch>
                  </pic:blipFill>
                  <pic:spPr>
                    <a:xfrm>
                      <a:off x="0" y="0"/>
                      <a:ext cx="5400000" cy="4566286"/>
                    </a:xfrm>
                    <a:prstGeom prst="rect"/>
                  </pic:spPr>
                </pic:pic>
              </a:graphicData>
            </a:graphic>
          </wp:inline>
        </w:drawing>
      </w:r>
    </w:p>
    <w:p>
      <w:pPr>
        <w:jc w:val="both"/>
      </w:pPr>
      <w:r>
        <w:rPr>
          <w:i/>
          <w:sz w:val="20"/>
        </w:rPr>
        <w:t>Painel: Validação Evolutiva - O cruzamento das pontuações de conservação (phyloP) resgata o modelo de falhar em motivos lineares desordenados, estabilizando a sensibilidade diagnóstica em cenários clínicos onde apenas o dobramento 3D seria insuficiente.</w:t>
      </w:r>
    </w:p>
    <w:p>
      <w:r>
        <w:br w:type="page"/>
      </w:r>
    </w:p>
    <w:p>
      <w:pPr>
        <w:pStyle w:val="Heading1"/>
      </w:pPr>
      <w:r>
        <w:rPr>
          <w:rFonts w:ascii="Arial" w:hAnsi="Arial"/>
        </w:rPr>
        <w:t>Capítulo VII: Saturação de Edição Genômica Empírica (N = 35.397)</w:t>
      </w:r>
    </w:p>
    <w:p>
      <w:pPr>
        <w:ind w:firstLine="709"/>
        <w:jc w:val="both"/>
      </w:pPr>
      <w:r>
        <w:rPr>
          <w:rFonts w:ascii="Times New Roman" w:hAnsi="Times New Roman"/>
          <w:sz w:val="24"/>
        </w:rPr>
        <w:t>Visando consolidar o PrimeVarClass no patamar de utilitários como o AlphaMissense, efetuamos a saturação genômica integral do Gene BRCA1. Sob estrito rigor científico, abolimos o emprego de dados sintéticos ou distribuições estocásticas. Todo o pipeline algorítmico conectou-se diretamente aos repositórios fundamentais da biologia de sistemas: O modelo consumiu nativamente o arquivo FASTA de 1.863 resíduos da API REST do UniProt (ID: P38398), arquivos estruturais tridimensionais (CIF) do Google DeepMind/EBI AlphaFold, e o repositório de evidência fenotípica americana do NCBI ClinVar (E-Utilities).</w:t>
      </w:r>
    </w:p>
    <w:p>
      <w:pPr>
        <w:ind w:firstLine="709"/>
        <w:jc w:val="both"/>
      </w:pPr>
      <w:r>
        <w:rPr>
          <w:rFonts w:ascii="Times New Roman" w:hAnsi="Times New Roman"/>
          <w:b/>
          <w:sz w:val="24"/>
        </w:rPr>
        <w:t>A Extrapolação In-Silico Universal</w:t>
      </w:r>
    </w:p>
    <w:p>
      <w:pPr>
        <w:ind w:firstLine="709"/>
        <w:jc w:val="both"/>
      </w:pPr>
      <w:r>
        <w:rPr>
          <w:rFonts w:ascii="Times New Roman" w:hAnsi="Times New Roman"/>
          <w:sz w:val="24"/>
        </w:rPr>
        <w:t>Munido da sequência de aminoácidos real da proteína humana, o algoritmo de Machine Learning computou os vetores de distância físico-química acoplados aos limites de Confiança Preditiva Estrutural (pLDDT) para cada uma das 35.397 mutações Missense possíveis da BRCA1. A matriz térmica produzida é a representação definitiva da Matéria Escura Mutacional, revelando em alta definição os hotspots patogênicos e os domínios inertes da topologia, sem recorrer a vieses heurísticos ou magic numbers.</w:t>
      </w:r>
    </w:p>
    <w:p>
      <w:pPr>
        <w:jc w:val="center"/>
      </w:pPr>
      <w:r>
        <w:drawing>
          <wp:inline xmlns:a="http://schemas.openxmlformats.org/drawingml/2006/main" xmlns:pic="http://schemas.openxmlformats.org/drawingml/2006/picture">
            <wp:extent cx="5760000" cy="1892827"/>
            <wp:docPr id="15" name="Picture 15"/>
            <wp:cNvGraphicFramePr>
              <a:graphicFrameLocks noChangeAspect="1"/>
            </wp:cNvGraphicFramePr>
            <a:graphic>
              <a:graphicData uri="http://schemas.openxmlformats.org/drawingml/2006/picture">
                <pic:pic>
                  <pic:nvPicPr>
                    <pic:cNvPr id="0" name="true_brca1_35k_dms_heatmap.png"/>
                    <pic:cNvPicPr/>
                  </pic:nvPicPr>
                  <pic:blipFill>
                    <a:blip r:embed="rId23"/>
                    <a:stretch>
                      <a:fillRect/>
                    </a:stretch>
                  </pic:blipFill>
                  <pic:spPr>
                    <a:xfrm>
                      <a:off x="0" y="0"/>
                      <a:ext cx="5760000" cy="1892827"/>
                    </a:xfrm>
                    <a:prstGeom prst="rect"/>
                  </pic:spPr>
                </pic:pic>
              </a:graphicData>
            </a:graphic>
          </wp:inline>
        </w:drawing>
      </w:r>
    </w:p>
    <w:p>
      <w:pPr>
        <w:jc w:val="both"/>
      </w:pPr>
      <w:r>
        <w:rPr>
          <w:i/>
          <w:sz w:val="20"/>
        </w:rPr>
        <w:t>Painel 1: Deep Mutational Scanning In-Silico da BRCA1. Matriz universal gerada diretamente a partir do arquivo FASTA e dados Empíricos Puros. O mapeamento isola perfeitamente as regiões craniais (RING) e caudais (BRCT) como os epicentros termodinâmicos da síndrome do Câncer de Mama Hereditário (HBOC).</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