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PrimeVarClass: da hipótese dos números primos a um classificador de variantes BRCA1/BRCA2 consciente de domínio e validado externamente</w:t>
      </w:r>
    </w:p>
    <w:p>
      <w:pPr>
        <w:spacing w:after="40"/>
      </w:pPr>
      <w:r>
        <w:rPr>
          <w:rFonts w:ascii="Arial" w:hAnsi="Arial"/>
          <w:b/>
          <w:sz w:val="22"/>
        </w:rPr>
        <w:t>32º Prêmio Jovem Cientista (2026) — Categoria: Estudante do Ensino Superior.</w:t>
      </w:r>
    </w:p>
    <w:p>
      <w:pPr>
        <w:spacing w:after="40"/>
      </w:pPr>
      <w:r>
        <w:rPr>
          <w:rFonts w:ascii="Arial" w:hAnsi="Arial"/>
          <w:sz w:val="22"/>
        </w:rPr>
        <w:t xml:space="preserve">Tema: </w:t>
      </w:r>
      <w:r>
        <w:rPr>
          <w:rFonts w:ascii="Arial" w:hAnsi="Arial"/>
          <w:i/>
          <w:sz w:val="22"/>
        </w:rPr>
        <w:t>Inteligência Artificial para o Bem Comum</w:t>
      </w:r>
      <w:r>
        <w:rPr>
          <w:rFonts w:ascii="Arial" w:hAnsi="Arial"/>
          <w:sz w:val="22"/>
        </w:rPr>
        <w:t xml:space="preserve"> — Subtema: </w:t>
      </w:r>
      <w:r>
        <w:rPr>
          <w:rFonts w:ascii="Arial" w:hAnsi="Arial"/>
          <w:b/>
          <w:sz w:val="22"/>
        </w:rPr>
        <w:t>Inteligência Artificial &amp; Saúde</w:t>
      </w:r>
      <w:r>
        <w:rPr>
          <w:rFonts w:ascii="Arial" w:hAnsi="Arial"/>
          <w:sz w:val="22"/>
        </w:rPr>
        <w:t xml:space="preserve"> (item 1.4.1.b do Edital).</w:t>
      </w:r>
    </w:p>
    <w:p>
      <w:pPr>
        <w:spacing w:after="40"/>
      </w:pPr>
      <w:r>
        <w:rPr>
          <w:rFonts w:ascii="Arial" w:hAnsi="Arial"/>
          <w:b/>
          <w:sz w:val="22"/>
        </w:rPr>
        <w:t>Autor(a):</w:t>
      </w:r>
      <w:r>
        <w:rPr>
          <w:rFonts w:ascii="Arial" w:hAnsi="Arial"/>
          <w:sz w:val="22"/>
        </w:rPr>
        <w:t xml:space="preserve"> ⟨nome completo do candidato⟩</w:t>
      </w:r>
    </w:p>
    <w:p>
      <w:pPr>
        <w:spacing w:after="40"/>
      </w:pPr>
      <w:r>
        <w:rPr>
          <w:rFonts w:ascii="Arial" w:hAnsi="Arial"/>
          <w:b/>
          <w:sz w:val="22"/>
        </w:rPr>
        <w:t>Orientador(a):</w:t>
      </w:r>
      <w:r>
        <w:rPr>
          <w:rFonts w:ascii="Arial" w:hAnsi="Arial"/>
          <w:sz w:val="22"/>
        </w:rPr>
        <w:t xml:space="preserve"> ⟨nome do orientador⟩</w:t>
      </w:r>
    </w:p>
    <w:p>
      <w:pPr>
        <w:spacing w:after="40"/>
      </w:pPr>
      <w:r>
        <w:rPr>
          <w:rFonts w:ascii="Arial" w:hAnsi="Arial"/>
          <w:b/>
          <w:sz w:val="22"/>
        </w:rPr>
        <w:t>Instituição de vínculo:</w:t>
      </w:r>
      <w:r>
        <w:rPr>
          <w:rFonts w:ascii="Arial" w:hAnsi="Arial"/>
          <w:sz w:val="22"/>
        </w:rPr>
        <w:t xml:space="preserve"> ⟨instituição — endereço, telefone, e-mail⟩</w:t>
      </w:r>
    </w:p>
    <w:p>
      <w:pPr>
        <w:spacing w:after="40"/>
      </w:pPr>
      <w:r>
        <w:rPr>
          <w:rFonts w:ascii="Arial" w:hAnsi="Arial"/>
          <w:b/>
          <w:sz w:val="22"/>
        </w:rPr>
        <w:t>Instituição onde a pesquisa foi desenvolvida:</w:t>
      </w:r>
      <w:r>
        <w:rPr>
          <w:rFonts w:ascii="Arial" w:hAnsi="Arial"/>
          <w:sz w:val="22"/>
        </w:rPr>
        <w:t xml:space="preserve"> ⟨instituição — endereço, telefone, e-mail⟩</w:t>
      </w:r>
    </w:p>
    <w:p>
      <w:pPr>
        <w:spacing w:after="40"/>
      </w:pPr>
      <w:r>
        <w:rPr>
          <w:rFonts w:ascii="Arial" w:hAnsi="Arial"/>
          <w:i/>
          <w:sz w:val="22"/>
        </w:rPr>
        <w:t>Formatação da versão final: A4, fonte Arial, corpo 12, espaçamento 1,5, 20–25 páginas, em Língua Portuguesa (conforme item 2.2.2 do Edital). Documento-fonte em Markdown; versão final em DOCX/PDF derivada deste arquivo. Os campos ⟨…⟩ devem ser preenchidos pelo candidato antes da submissão.</w:t>
      </w:r>
    </w:p>
    <w:p/>
    <w:p>
      <w:pPr>
        <w:pStyle w:val="Heading1"/>
      </w:pPr>
      <w:r>
        <w:t>Resumo</w:t>
      </w:r>
    </w:p>
    <w:p>
      <w:pPr>
        <w:jc w:val="both"/>
      </w:pPr>
      <w:r>
        <w:rPr>
          <w:rFonts w:ascii="Arial" w:hAnsi="Arial"/>
        </w:rPr>
        <w:t xml:space="preserve">A interpretação de variantes de significado incerto (VUS) em genes de predisposição ao câncer de mama e ovário, como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, é um gargalo clínico e de pesquisa: milhares de mutações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permanecem sem classificação, o que limita o aconselhamento genético e o acesso equitativo à medicina de precisão no Brasil. Este trabalho apresenta o </w:t>
      </w:r>
      <w:r>
        <w:rPr>
          <w:rFonts w:ascii="Arial" w:hAnsi="Arial"/>
          <w:b/>
        </w:rPr>
        <w:t>PrimeVarClass</w:t>
      </w:r>
      <w:r>
        <w:rPr>
          <w:rFonts w:ascii="Arial" w:hAnsi="Arial"/>
        </w:rPr>
        <w:t xml:space="preserve">, um sistema de inteligência artificial explicável para priorização dessas variantes, desenvolvido sob um princípio central: </w:t>
      </w:r>
      <w:r>
        <w:rPr>
          <w:rFonts w:ascii="Arial" w:hAnsi="Arial"/>
          <w:b/>
        </w:rPr>
        <w:t>rigor metodológico e honestidade científica como fonte de valor</w:t>
      </w:r>
      <w:r>
        <w:rPr>
          <w:rFonts w:ascii="Arial" w:hAnsi="Arial"/>
        </w:rPr>
        <w:t xml:space="preserve">. Partimos de uma hipótese original — codificar aminoácidos como números primos para capturar padrões de patogenicidade — e a submetemos a um teste controlado com dados reais do ClinVar, painéis de especialistas e gnomAD. A hipótese foi </w:t>
      </w:r>
      <w:r>
        <w:rPr>
          <w:rFonts w:ascii="Arial" w:hAnsi="Arial"/>
          <w:b/>
        </w:rPr>
        <w:t>refutada de forma transparente</w:t>
      </w:r>
      <w:r>
        <w:rPr>
          <w:rFonts w:ascii="Arial" w:hAnsi="Arial"/>
        </w:rPr>
        <w:t xml:space="preserve">: características derivadas de primos tiveram desempenho inferior (AUC 0,742) ao de uma simples identidade de aminoácidos (AUC 0,902) e </w:t>
      </w:r>
      <w:r>
        <w:rPr>
          <w:rFonts w:ascii="Arial" w:hAnsi="Arial"/>
          <w:i/>
        </w:rPr>
        <w:t>reduziram</w:t>
      </w:r>
      <w:r>
        <w:rPr>
          <w:rFonts w:ascii="Arial" w:hAnsi="Arial"/>
        </w:rPr>
        <w:t xml:space="preserve"> o desempenho ao serem adicionadas a um modelo bioquímico (0,834 → 0,810; DeLong p &lt; 0,0001). No processo, diagnosticamos uma </w:t>
      </w:r>
      <w:r>
        <w:rPr>
          <w:rFonts w:ascii="Arial" w:hAnsi="Arial"/>
          <w:b/>
        </w:rPr>
        <w:t>armadilha de vazamento posicional</w:t>
      </w:r>
      <w:r>
        <w:rPr>
          <w:rFonts w:ascii="Arial" w:hAnsi="Arial"/>
        </w:rPr>
        <w:t xml:space="preserve">: a posição do resíduo memoriza os dados de treino (AUC interna 0,885) mas colapsa em coortes externas. A partir desse diagnóstico, construímos um classificador </w:t>
      </w:r>
      <w:r>
        <w:rPr>
          <w:rFonts w:ascii="Arial" w:hAnsi="Arial"/>
          <w:b/>
        </w:rPr>
        <w:t>consciente de domínio funcional</w:t>
      </w:r>
      <w:r>
        <w:rPr>
          <w:rFonts w:ascii="Arial" w:hAnsi="Arial"/>
        </w:rPr>
        <w:t xml:space="preserve">, que substitui a posição bruta por características de </w:t>
      </w:r>
      <w:r>
        <w:rPr>
          <w:rFonts w:ascii="Arial" w:hAnsi="Arial"/>
          <w:i/>
        </w:rPr>
        <w:t>região</w:t>
      </w:r>
      <w:r>
        <w:rPr>
          <w:rFonts w:ascii="Arial" w:hAnsi="Arial"/>
        </w:rPr>
        <w:t xml:space="preserve"> anotadas a partir do UniProt (domínios RING/BRCT de BRCA1 e o domínio de ligação ao DNA de BRCA2). Esse modelo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com AUC de </w:t>
      </w:r>
      <w:r>
        <w:rPr>
          <w:rFonts w:ascii="Arial" w:hAnsi="Arial"/>
          <w:b/>
        </w:rPr>
        <w:t>0,847</w:t>
      </w:r>
      <w:r>
        <w:rPr>
          <w:rFonts w:ascii="Arial" w:hAnsi="Arial"/>
        </w:rPr>
        <w:t xml:space="preserve">, superando tanto a linha de base bioquímica (0,717) quanto o modelo que usa posição bruta (0,791; DeLong p = 1,8 × 10⁻¹³) — evidência de que capturamos biologia transferível, não memorização. O sistema é entregue como plataforma reprodutível, com validação anti-vazamento, explicabilidade e um caminho para integração de aprendizado profundo autêntico (ESM-2). A contribuição principal não é uma alegação inflada de desempenho, mas um </w:t>
      </w:r>
      <w:r>
        <w:rPr>
          <w:rFonts w:ascii="Arial" w:hAnsi="Arial"/>
          <w:b/>
        </w:rPr>
        <w:t>método honesto, auditável e generalizável</w:t>
      </w:r>
      <w:r>
        <w:rPr>
          <w:rFonts w:ascii="Arial" w:hAnsi="Arial"/>
        </w:rPr>
        <w:t xml:space="preserve"> para apoiar a pesquisa genética responsável no país.</w:t>
      </w:r>
    </w:p>
    <w:p>
      <w:pPr>
        <w:jc w:val="both"/>
      </w:pPr>
      <w:r>
        <w:rPr>
          <w:rFonts w:ascii="Arial" w:hAnsi="Arial"/>
          <w:b/>
        </w:rPr>
        <w:t>Palavras-chave:</w:t>
      </w:r>
      <w:r>
        <w:rPr>
          <w:rFonts w:ascii="Arial" w:hAnsi="Arial"/>
        </w:rPr>
        <w:t xml:space="preserve"> classificação de variantes de significado incerto; BRCA1/BRCA2; validação externa; domínios funcionais de proteínas; inteligência artificial em saúde.</w:t>
      </w:r>
    </w:p>
    <w:p>
      <w:pPr>
        <w:pStyle w:val="Heading1"/>
      </w:pPr>
      <w:r>
        <w:t>1. Introdução</w:t>
      </w:r>
    </w:p>
    <w:p>
      <w:pPr>
        <w:pStyle w:val="Heading2"/>
      </w:pPr>
      <w:r>
        <w:t>1.1 O problema clínico e social</w:t>
      </w:r>
    </w:p>
    <w:p>
      <w:pPr>
        <w:jc w:val="both"/>
      </w:pPr>
      <w:r>
        <w:rPr>
          <w:rFonts w:ascii="Arial" w:hAnsi="Arial"/>
        </w:rPr>
        <w:t xml:space="preserve">Mutações germinativas em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aumentam substancialmente o risco de câncer de mama e de ovário. A identificação de portadores permite estratégias de redução de risco, rastreamento intensificado e decisões terapêuticas informadas. Contudo, uma fração expressiva das variantes encontradas em testes genéticos é classificada como </w:t>
      </w:r>
      <w:r>
        <w:rPr>
          <w:rFonts w:ascii="Arial" w:hAnsi="Arial"/>
          <w:b/>
        </w:rPr>
        <w:t>variante de significado incerto (VUS)</w:t>
      </w:r>
      <w:r>
        <w:rPr>
          <w:rFonts w:ascii="Arial" w:hAnsi="Arial"/>
        </w:rPr>
        <w:t xml:space="preserve"> — não se sabe se são patogênicas ou benignas. Para o paciente e a família, uma VUS significa ansiedade e ausência de conduta clínica clara; para o sistema de saúde, significa exames que não se convertem em decisão.</w:t>
      </w:r>
    </w:p>
    <w:p>
      <w:pPr>
        <w:jc w:val="both"/>
      </w:pPr>
      <w:r>
        <w:rPr>
          <w:rFonts w:ascii="Arial" w:hAnsi="Arial"/>
        </w:rPr>
        <w:t xml:space="preserve">No Brasil, esse problema é agravado por desigualdade de acesso: a interpretação de variantes depende de expertise concentrada em poucos centros, e laboratórios públicos e universitários frequentemente carecem de ferramentas abertas, auditáveis e adaptadas à realidade nacional. Uma inteligência artificial que </w:t>
      </w:r>
      <w:r>
        <w:rPr>
          <w:rFonts w:ascii="Arial" w:hAnsi="Arial"/>
          <w:b/>
        </w:rPr>
        <w:t>acelere e organize</w:t>
      </w:r>
      <w:r>
        <w:rPr>
          <w:rFonts w:ascii="Arial" w:hAnsi="Arial"/>
        </w:rPr>
        <w:t xml:space="preserve"> a interpretação de variantes — sem substituir o julgamento humano — tem potencial de impacto direto na formação de pesquisadores e no apoio à medicina de precisão pública.</w:t>
      </w:r>
    </w:p>
    <w:p>
      <w:pPr>
        <w:pStyle w:val="Heading2"/>
      </w:pPr>
      <w:r>
        <w:t>1.2 A lacuna metodológica</w:t>
      </w:r>
    </w:p>
    <w:p>
      <w:pPr>
        <w:jc w:val="both"/>
      </w:pPr>
      <w:r>
        <w:rPr>
          <w:rFonts w:ascii="Arial" w:hAnsi="Arial"/>
        </w:rPr>
        <w:t xml:space="preserve">Preditores computacionais de patogenicidade existem (REVEL, CADD, AlphaMissense, entre outros), mas muitos benchmarks sofrem de dois problemas recorrentes: </w:t>
      </w:r>
      <w:r>
        <w:rPr>
          <w:rFonts w:ascii="Arial" w:hAnsi="Arial"/>
          <w:b/>
        </w:rPr>
        <w:t>(i) vazamento de dados</w:t>
      </w:r>
      <w:r>
        <w:rPr>
          <w:rFonts w:ascii="Arial" w:hAnsi="Arial"/>
        </w:rPr>
        <w:t xml:space="preserve">, quando o modelo aprende atalhos que não se sustentam fora do conjunto de treino, e </w:t>
      </w:r>
      <w:r>
        <w:rPr>
          <w:rFonts w:ascii="Arial" w:hAnsi="Arial"/>
          <w:b/>
        </w:rPr>
        <w:t>(ii) falta de validação externa independente</w:t>
      </w:r>
      <w:r>
        <w:rPr>
          <w:rFonts w:ascii="Arial" w:hAnsi="Arial"/>
        </w:rPr>
        <w:t xml:space="preserve">, superestimando o desempenho real. Um sistema competitivo e cientificamente sólido precisa demonstrar não o melhor número em um teste interno, mas </w:t>
      </w:r>
      <w:r>
        <w:rPr>
          <w:rFonts w:ascii="Arial" w:hAnsi="Arial"/>
          <w:b/>
        </w:rPr>
        <w:t>generalização honesta</w:t>
      </w:r>
      <w:r>
        <w:rPr>
          <w:rFonts w:ascii="Arial" w:hAnsi="Arial"/>
        </w:rPr>
        <w:t xml:space="preserve"> para dados nunca vistos.</w:t>
      </w:r>
    </w:p>
    <w:p>
      <w:pPr>
        <w:pStyle w:val="Heading2"/>
      </w:pPr>
      <w:r>
        <w:t>1.3 Estado da arte: preditores de patogenicidade e o problema do vazamento</w:t>
      </w:r>
    </w:p>
    <w:p>
      <w:pPr>
        <w:jc w:val="both"/>
      </w:pPr>
      <w:r>
        <w:rPr>
          <w:rFonts w:ascii="Arial" w:hAnsi="Arial"/>
        </w:rPr>
        <w:t xml:space="preserve">O campo da predição computacional de patogenicidade evoluiu de escores de conservação isolados para </w:t>
      </w:r>
      <w:r>
        <w:rPr>
          <w:rFonts w:ascii="Arial" w:hAnsi="Arial"/>
          <w:i/>
        </w:rPr>
        <w:t>meta-preditores</w:t>
      </w:r>
      <w:r>
        <w:rPr>
          <w:rFonts w:ascii="Arial" w:hAnsi="Arial"/>
        </w:rPr>
        <w:t xml:space="preserve"> e modelos de aprendizado profundo. Métodos de conjunto como o </w:t>
      </w:r>
      <w:r>
        <w:rPr>
          <w:rFonts w:ascii="Arial" w:hAnsi="Arial"/>
          <w:b/>
        </w:rPr>
        <w:t>REVEL</w:t>
      </w:r>
      <w:r>
        <w:rPr>
          <w:rFonts w:ascii="Arial" w:hAnsi="Arial"/>
        </w:rPr>
        <w:t xml:space="preserve"> (Ioannidis et al., 2016) e escores integrativos como o </w:t>
      </w:r>
      <w:r>
        <w:rPr>
          <w:rFonts w:ascii="Arial" w:hAnsi="Arial"/>
          <w:b/>
        </w:rPr>
        <w:t>CADD</w:t>
      </w:r>
      <w:r>
        <w:rPr>
          <w:rFonts w:ascii="Arial" w:hAnsi="Arial"/>
        </w:rPr>
        <w:t xml:space="preserve"> (Rentzsch et al., 2019) combinam dezenas de anotações; avaliações independentes indicam que REVEL e BayesDel frequentemente superam preditores individuais na classificação clínica (Tian et al., 2019). Mais recentemente, o </w:t>
      </w:r>
      <w:r>
        <w:rPr>
          <w:rFonts w:ascii="Arial" w:hAnsi="Arial"/>
          <w:b/>
        </w:rPr>
        <w:t>AlphaMissense</w:t>
      </w:r>
      <w:r>
        <w:rPr>
          <w:rFonts w:ascii="Arial" w:hAnsi="Arial"/>
        </w:rPr>
        <w:t xml:space="preserve"> (Cheng et al., 2023) estendeu a predição a todo o proteoma humano com desempenho de referência. Especificamente para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BRCA-ML</w:t>
      </w:r>
      <w:r>
        <w:rPr>
          <w:rFonts w:ascii="Arial" w:hAnsi="Arial"/>
        </w:rPr>
        <w:t xml:space="preserve"> (Hart et al., 2020) e abordagens de aprendizado de máquina para reclassificação de VUS (RENOVO; Favalli et al., 2021) demonstraram utilidade, e recursos como a análise multifatorial da ENIGMA (Parsons et al., 2019) fornecem rótulos quantitativos de alta confiança. Ensaios funcionais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por recombinação homóloga (Toland; Andreassen, 2017) — vêm reduzindo a incerteza sobre variantes específicas.</w:t>
      </w:r>
    </w:p>
    <w:p>
      <w:pPr>
        <w:jc w:val="both"/>
      </w:pPr>
      <w:r>
        <w:rPr>
          <w:rFonts w:ascii="Arial" w:hAnsi="Arial"/>
        </w:rPr>
        <w:t xml:space="preserve">Dois desafios, porém, atravessam a literatura. O primeiro é a </w:t>
      </w:r>
      <w:r>
        <w:rPr>
          <w:rFonts w:ascii="Arial" w:hAnsi="Arial"/>
          <w:b/>
        </w:rPr>
        <w:t>calibração</w:t>
      </w:r>
      <w:r>
        <w:rPr>
          <w:rFonts w:ascii="Arial" w:hAnsi="Arial"/>
        </w:rPr>
        <w:t xml:space="preserve">: o ClinGen (Pejaver et al., 2022) mostrou que os escores brutos dos preditores precisam ser calibrados para serem usados como evidência na estrutura ACMG/AMP (Richards et al., 2015). O segundo, menos discutido mas crítico, é o </w:t>
      </w:r>
      <w:r>
        <w:rPr>
          <w:rFonts w:ascii="Arial" w:hAnsi="Arial"/>
          <w:b/>
        </w:rPr>
        <w:t>vazamento de dados</w:t>
      </w:r>
      <w:r>
        <w:rPr>
          <w:rFonts w:ascii="Arial" w:hAnsi="Arial"/>
        </w:rPr>
        <w:t xml:space="preserve"> e a </w:t>
      </w:r>
      <w:r>
        <w:rPr>
          <w:rFonts w:ascii="Arial" w:hAnsi="Arial"/>
          <w:b/>
        </w:rPr>
        <w:t>superestimação por validação inadequada</w:t>
      </w:r>
      <w:r>
        <w:rPr>
          <w:rFonts w:ascii="Arial" w:hAnsi="Arial"/>
        </w:rPr>
        <w:t xml:space="preserve">, um problema reconhecido na modelagem preditiva clínica em geral (Kernbach; Staartjes, 2022). Modelos avaliados sem separação rigorosa entre treino e teste — por posição, por gene ou por família — reportam desempenhos que não se sustentam externamente. A observação de "coldspots" sistematicamente mal classificados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 (Dines et al., 2020) e evidências recentes de que a </w:t>
      </w:r>
      <w:r>
        <w:rPr>
          <w:rFonts w:ascii="Arial" w:hAnsi="Arial"/>
          <w:b/>
        </w:rPr>
        <w:t>restrição evolutiva em resolução de domínio</w:t>
      </w:r>
      <w:r>
        <w:rPr>
          <w:rFonts w:ascii="Arial" w:hAnsi="Arial"/>
        </w:rPr>
        <w:t xml:space="preserve"> melhora a priorização (Zhang et al., 2024; Torretto et al., 2026) motivam diretamente a abordagem consciente de domínio deste trabalho. É nesse ponto — rigor de validação e sinal de origem biológica explícita — que buscamos contribuir.</w:t>
      </w:r>
    </w:p>
    <w:p>
      <w:pPr>
        <w:pStyle w:val="Heading2"/>
      </w:pPr>
      <w:r>
        <w:t>1.4 A jornada científica deste trabalho</w:t>
      </w:r>
    </w:p>
    <w:p>
      <w:pPr>
        <w:jc w:val="both"/>
      </w:pPr>
      <w:r>
        <w:rPr>
          <w:rFonts w:ascii="Arial" w:hAnsi="Arial"/>
        </w:rPr>
        <w:t xml:space="preserve">Este projeto nasceu de uma hipótese original e arrojada: e se a estrutura dos </w:t>
      </w:r>
      <w:r>
        <w:rPr>
          <w:rFonts w:ascii="Arial" w:hAnsi="Arial"/>
          <w:b/>
        </w:rPr>
        <w:t>números primos</w:t>
      </w:r>
      <w:r>
        <w:rPr>
          <w:rFonts w:ascii="Arial" w:hAnsi="Arial"/>
        </w:rPr>
        <w:t xml:space="preserve"> — objetos matemáticos com propriedades de distribuição não triviais — pudesse codificar aminoácidos de forma a revelar padrões de patogenicidade? A ideia dá nome ao sistema (</w:t>
      </w:r>
      <w:r>
        <w:rPr>
          <w:rFonts w:ascii="Arial" w:hAnsi="Arial"/>
          <w:i/>
        </w:rPr>
        <w:t>PrimeVarClass</w:t>
      </w:r>
      <w:r>
        <w:rPr>
          <w:rFonts w:ascii="Arial" w:hAnsi="Arial"/>
        </w:rPr>
        <w:t xml:space="preserve">). Em vez de tratá-la como verdade a ser defendida, nós a tratamos como </w:t>
      </w:r>
      <w:r>
        <w:rPr>
          <w:rFonts w:ascii="Arial" w:hAnsi="Arial"/>
          <w:b/>
        </w:rPr>
        <w:t>hipótese a ser testada</w:t>
      </w:r>
      <w:r>
        <w:rPr>
          <w:rFonts w:ascii="Arial" w:hAnsi="Arial"/>
        </w:rPr>
        <w:t xml:space="preserve">. Este manuscrito relata honestamente esse teste, seu </w:t>
      </w:r>
      <w:r>
        <w:rPr>
          <w:rFonts w:ascii="Arial" w:hAnsi="Arial"/>
          <w:b/>
        </w:rPr>
        <w:t>resultado negativo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diagnóstico</w:t>
      </w:r>
      <w:r>
        <w:rPr>
          <w:rFonts w:ascii="Arial" w:hAnsi="Arial"/>
        </w:rPr>
        <w:t xml:space="preserve"> que ele possibilitou, e a </w:t>
      </w:r>
      <w:r>
        <w:rPr>
          <w:rFonts w:ascii="Arial" w:hAnsi="Arial"/>
          <w:b/>
        </w:rPr>
        <w:t>solução generalizável</w:t>
      </w:r>
      <w:r>
        <w:rPr>
          <w:rFonts w:ascii="Arial" w:hAnsi="Arial"/>
        </w:rPr>
        <w:t xml:space="preserve"> que dele emergiu. Sustentamos que essa trajetória — hipótese ousada, teste rigoroso, refutação transparente e modelo validado — é, em si, a contribuição científica mais valiosa e mais alinhada ao espírito da ciência.</w:t>
      </w:r>
    </w:p>
    <w:p>
      <w:pPr>
        <w:pStyle w:val="Heading2"/>
      </w:pPr>
      <w:r>
        <w:t>1.5 Objetivos</w:t>
      </w:r>
    </w:p>
    <w:p>
      <w:pPr>
        <w:jc w:val="both"/>
      </w:pPr>
      <w:r>
        <w:rPr>
          <w:rFonts w:ascii="Arial" w:hAnsi="Arial"/>
        </w:rPr>
        <w:t xml:space="preserve">1. Testar de forma controlada se a codificação por números primos melhora a classificação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>.</w:t>
      </w:r>
    </w:p>
    <w:p>
      <w:pPr>
        <w:jc w:val="both"/>
      </w:pPr>
      <w:r>
        <w:rPr>
          <w:rFonts w:ascii="Arial" w:hAnsi="Arial"/>
        </w:rPr>
        <w:t>2. Investigar e quantificar o efeito de vazamento posicional em benchmarks internos.</w:t>
      </w:r>
    </w:p>
    <w:p>
      <w:pPr>
        <w:jc w:val="both"/>
      </w:pPr>
      <w:r>
        <w:rPr>
          <w:rFonts w:ascii="Arial" w:hAnsi="Arial"/>
        </w:rPr>
        <w:t xml:space="preserve">3. Desenvolver e </w:t>
      </w:r>
      <w:r>
        <w:rPr>
          <w:rFonts w:ascii="Arial" w:hAnsi="Arial"/>
          <w:b/>
        </w:rPr>
        <w:t>validar externamente</w:t>
      </w:r>
      <w:r>
        <w:rPr>
          <w:rFonts w:ascii="Arial" w:hAnsi="Arial"/>
        </w:rPr>
        <w:t xml:space="preserve"> um classificador consciente de domínio funcional que generalize para coortes independentes.</w:t>
      </w:r>
    </w:p>
    <w:p>
      <w:pPr>
        <w:jc w:val="both"/>
      </w:pPr>
      <w:r>
        <w:rPr>
          <w:rFonts w:ascii="Arial" w:hAnsi="Arial"/>
        </w:rPr>
        <w:t>4. Entregar o sistema de forma reprodutível, explicável e eticamente responsável, com aplicação concreta ao contexto brasileiro de saúde e pesquisa.</w:t>
      </w:r>
    </w:p>
    <w:p>
      <w:pPr>
        <w:pStyle w:val="Heading1"/>
      </w:pPr>
      <w:r>
        <w:t>2. Materiais e Métodos</w:t>
      </w:r>
    </w:p>
    <w:p>
      <w:pPr>
        <w:pStyle w:val="Heading2"/>
      </w:pPr>
      <w:r>
        <w:t>2.1 Fontes de dados (reais e públicas)</w:t>
      </w:r>
    </w:p>
    <w:p>
      <w:pPr>
        <w:jc w:val="both"/>
      </w:pPr>
      <w:r>
        <w:rPr>
          <w:rFonts w:ascii="Arial" w:hAnsi="Arial"/>
        </w:rPr>
        <w:t xml:space="preserve">Utilizamos exclusivamente dados públicos e auditáveis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de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(UniProt P38398)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(UniProt P51587):</w:t>
      </w:r>
    </w:p>
    <w:p>
      <w:pPr>
        <w:pStyle w:val="ListBullet"/>
      </w:pPr>
      <w:r>
        <w:rPr>
          <w:rFonts w:ascii="Arial" w:hAnsi="Arial"/>
          <w:b/>
        </w:rPr>
        <w:t>ClinVar</w:t>
      </w:r>
      <w:r>
        <w:rPr>
          <w:rFonts w:ascii="Arial" w:hAnsi="Arial"/>
        </w:rPr>
        <w:t xml:space="preserve"> — classificações clínicas, com subconjunto de alta confiança revisado por painel de especialistas (ENIGMA/ClinGen).</w:t>
      </w:r>
    </w:p>
    <w:p>
      <w:pPr>
        <w:pStyle w:val="ListBullet"/>
      </w:pPr>
      <w:r>
        <w:rPr>
          <w:rFonts w:ascii="Arial" w:hAnsi="Arial"/>
          <w:b/>
        </w:rPr>
        <w:t>gnomAD</w:t>
      </w:r>
      <w:r>
        <w:rPr>
          <w:rFonts w:ascii="Arial" w:hAnsi="Arial"/>
        </w:rPr>
        <w:t xml:space="preserve"> — frequências alélicas populacionais.</w:t>
      </w:r>
    </w:p>
    <w:p>
      <w:pPr>
        <w:pStyle w:val="ListBullet"/>
      </w:pPr>
      <w:r>
        <w:rPr>
          <w:rFonts w:ascii="Arial" w:hAnsi="Arial"/>
          <w:b/>
        </w:rPr>
        <w:t>Coortes externas independentes</w:t>
      </w:r>
      <w:r>
        <w:rPr>
          <w:rFonts w:ascii="Arial" w:hAnsi="Arial"/>
        </w:rPr>
        <w:t xml:space="preserve"> — variantes classificadas por especialistas de BRCA1 e BRCA2, mantidas estritamente separadas do conjunto de treino para validação de generalização.</w:t>
      </w:r>
    </w:p>
    <w:p>
      <w:pPr>
        <w:jc w:val="both"/>
      </w:pPr>
      <w:r>
        <w:rPr>
          <w:rFonts w:ascii="Arial" w:hAnsi="Arial"/>
        </w:rPr>
        <w:t xml:space="preserve">Rótulos foram normalizados em patogênico (1) vs benigno (0); classificações conflitantes ou de baixa confiança foram excluídas. Conjunto de treino: </w:t>
      </w:r>
      <w:r>
        <w:rPr>
          <w:rFonts w:ascii="Arial" w:hAnsi="Arial"/>
          <w:b/>
        </w:rPr>
        <w:t>n = 869</w:t>
      </w:r>
      <w:r>
        <w:rPr>
          <w:rFonts w:ascii="Arial" w:hAnsi="Arial"/>
        </w:rPr>
        <w:t xml:space="preserve">; conjunto externo: </w:t>
      </w:r>
      <w:r>
        <w:rPr>
          <w:rFonts w:ascii="Arial" w:hAnsi="Arial"/>
          <w:b/>
        </w:rPr>
        <w:t>n = 836</w:t>
      </w:r>
      <w:r>
        <w:rPr>
          <w:rFonts w:ascii="Arial" w:hAnsi="Arial"/>
        </w:rPr>
        <w:t>.</w:t>
      </w:r>
    </w:p>
    <w:p>
      <w:pPr>
        <w:pStyle w:val="Heading2"/>
      </w:pPr>
      <w:r>
        <w:t>2.2 Representações de variante (características)</w:t>
      </w:r>
    </w:p>
    <w:p>
      <w:pPr>
        <w:jc w:val="both"/>
      </w:pPr>
      <w:r>
        <w:rPr>
          <w:rFonts w:ascii="Arial" w:hAnsi="Arial"/>
        </w:rPr>
        <w:t>Cada substituição de aminoácido foi representada por famílias de características:</w:t>
      </w:r>
    </w:p>
    <w:p>
      <w:pPr>
        <w:pStyle w:val="ListBullet"/>
      </w:pPr>
      <w:r>
        <w:rPr>
          <w:rFonts w:ascii="Arial" w:hAnsi="Arial"/>
          <w:b/>
        </w:rPr>
        <w:t>Bioquímicas</w:t>
      </w:r>
      <w:r>
        <w:rPr>
          <w:rFonts w:ascii="Arial" w:hAnsi="Arial"/>
        </w:rPr>
        <w:t>: variações de massa, hidrofobicidade, carga, polaridade, aromaticidade, mudança de classe química e escore de severidade bioquímica.</w:t>
      </w:r>
    </w:p>
    <w:p>
      <w:pPr>
        <w:pStyle w:val="ListBullet"/>
      </w:pPr>
      <w:r>
        <w:rPr>
          <w:rFonts w:ascii="Arial" w:hAnsi="Arial"/>
          <w:b/>
        </w:rPr>
        <w:t>Hipótese dos primos</w:t>
      </w:r>
      <w:r>
        <w:rPr>
          <w:rFonts w:ascii="Arial" w:hAnsi="Arial"/>
        </w:rPr>
        <w:t>: aminoácidos mapeados a números primos, com derivações (razões, diferenças, densidade local, lacunas entre primos, resíduos módulo, etc.).</w:t>
      </w:r>
    </w:p>
    <w:p>
      <w:pPr>
        <w:pStyle w:val="ListBullet"/>
      </w:pPr>
      <w:r>
        <w:rPr>
          <w:rFonts w:ascii="Arial" w:hAnsi="Arial"/>
          <w:b/>
        </w:rPr>
        <w:t>Identidade</w:t>
      </w:r>
      <w:r>
        <w:rPr>
          <w:rFonts w:ascii="Arial" w:hAnsi="Arial"/>
        </w:rPr>
        <w:t>: codificação categórica direta (gene, aminoácido de referência, aminoácido alternativo).</w:t>
      </w:r>
    </w:p>
    <w:p>
      <w:pPr>
        <w:pStyle w:val="ListBullet"/>
      </w:pPr>
      <w:r>
        <w:rPr>
          <w:rFonts w:ascii="Arial" w:hAnsi="Arial"/>
          <w:b/>
        </w:rPr>
        <w:t>Domínio funcional</w:t>
      </w:r>
      <w:r>
        <w:rPr>
          <w:rFonts w:ascii="Arial" w:hAnsi="Arial"/>
        </w:rPr>
        <w:t xml:space="preserve"> (proposta deste trabalho): rótulo categórico do domínio UniProt e indicador binário de domínio crítico (ver 2.4).</w:t>
      </w:r>
    </w:p>
    <w:p>
      <w:pPr>
        <w:pStyle w:val="ListBullet"/>
      </w:pPr>
      <w:r>
        <w:rPr>
          <w:rFonts w:ascii="Arial" w:hAnsi="Arial"/>
          <w:b/>
        </w:rPr>
        <w:t>Preditores externos</w:t>
      </w:r>
      <w:r>
        <w:rPr>
          <w:rFonts w:ascii="Arial" w:hAnsi="Arial"/>
        </w:rPr>
        <w:t xml:space="preserve"> (apenas como referência): quando disponíveis.</w:t>
      </w:r>
    </w:p>
    <w:p>
      <w:pPr>
        <w:pStyle w:val="Heading2"/>
      </w:pPr>
      <w:r>
        <w:t>2.3 O teste da hipótese dos primos</w:t>
      </w:r>
    </w:p>
    <w:p>
      <w:pPr>
        <w:jc w:val="both"/>
      </w:pPr>
      <w:r>
        <w:rPr>
          <w:rFonts w:ascii="Arial" w:hAnsi="Arial"/>
        </w:rPr>
        <w:t xml:space="preserve">Para avaliar a hipótese de forma justa, comparamos, sob </w:t>
      </w:r>
      <w:r>
        <w:rPr>
          <w:rFonts w:ascii="Arial" w:hAnsi="Arial"/>
          <w:b/>
        </w:rPr>
        <w:t>o mesmo classificador e o mesmo protocolo de validação</w:t>
      </w:r>
      <w:r>
        <w:rPr>
          <w:rFonts w:ascii="Arial" w:hAnsi="Arial"/>
        </w:rPr>
        <w:t xml:space="preserve">, conjuntos de características isolados: apenas-primos, apenas-bioquímico, apenas-identidade, e combinações (híbrido). A pergunta central foi operacionalizada em comparações pareadas: </w:t>
      </w:r>
      <w:r>
        <w:rPr>
          <w:rFonts w:ascii="Arial" w:hAnsi="Arial"/>
          <w:i/>
        </w:rPr>
        <w:t>os primos superam a identidade simples?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adicionar primos a um modelo bioquímico ajuda?</w:t>
      </w:r>
    </w:p>
    <w:p>
      <w:pPr>
        <w:pStyle w:val="Heading2"/>
      </w:pPr>
      <w:r>
        <w:t>2.4 Anotação de domínio funcional (UniProt)</w:t>
      </w:r>
    </w:p>
    <w:p>
      <w:pPr>
        <w:jc w:val="both"/>
      </w:pPr>
      <w:r>
        <w:rPr>
          <w:rFonts w:ascii="Arial" w:hAnsi="Arial"/>
        </w:rPr>
        <w:t>Mapeamos cada posição de resíduo aos domínios funcionais curados das proteínas:</w:t>
      </w:r>
    </w:p>
    <w:p>
      <w:pPr>
        <w:pStyle w:val="ListBullet"/>
      </w:pPr>
      <w:r>
        <w:rPr>
          <w:rFonts w:ascii="Arial" w:hAnsi="Arial"/>
          <w:b/>
        </w:rPr>
        <w:t>BRCA1 (P38398)</w:t>
      </w:r>
      <w:r>
        <w:rPr>
          <w:rFonts w:ascii="Arial" w:hAnsi="Arial"/>
        </w:rPr>
        <w:t xml:space="preserve">: domínio RING (1–109; ligação a BARD1, E3-ligase) e as repetições BRCT (1642–1736 e 1756–1855) como regiões </w:t>
      </w:r>
      <w:r>
        <w:rPr>
          <w:rFonts w:ascii="Arial" w:hAnsi="Arial"/>
          <w:b/>
        </w:rPr>
        <w:t>críticas</w:t>
      </w:r>
      <w:r>
        <w:rPr>
          <w:rFonts w:ascii="Arial" w:hAnsi="Arial"/>
        </w:rPr>
        <w:t xml:space="preserve">; domínios SCD e </w:t>
      </w:r>
      <w:r>
        <w:rPr>
          <w:rFonts w:ascii="Arial" w:hAnsi="Arial"/>
          <w:i/>
        </w:rPr>
        <w:t>coiled-coil</w:t>
      </w:r>
      <w:r>
        <w:rPr>
          <w:rFonts w:ascii="Arial" w:hAnsi="Arial"/>
        </w:rPr>
        <w:t xml:space="preserve"> de ligação a PALB2 como não críticos.</w:t>
      </w:r>
    </w:p>
    <w:p>
      <w:pPr>
        <w:pStyle w:val="ListBullet"/>
      </w:pPr>
      <w:r>
        <w:rPr>
          <w:rFonts w:ascii="Arial" w:hAnsi="Arial"/>
          <w:b/>
        </w:rPr>
        <w:t>BRCA2 (P51587)</w:t>
      </w:r>
      <w:r>
        <w:rPr>
          <w:rFonts w:ascii="Arial" w:hAnsi="Arial"/>
        </w:rPr>
        <w:t xml:space="preserve">: domínio de ligação ao DNA (DBD: helicoidal 2481–2667 e três folhas OB até 3186) como região </w:t>
      </w:r>
      <w:r>
        <w:rPr>
          <w:rFonts w:ascii="Arial" w:hAnsi="Arial"/>
          <w:b/>
        </w:rPr>
        <w:t>crítica</w:t>
      </w:r>
      <w:r>
        <w:rPr>
          <w:rFonts w:ascii="Arial" w:hAnsi="Arial"/>
        </w:rPr>
        <w:t>; repetições BRC de ligação a RAD51 e demais regiões como não críticas.</w:t>
      </w:r>
    </w:p>
    <w:p>
      <w:pPr>
        <w:jc w:val="both"/>
      </w:pPr>
      <w:r>
        <w:rPr>
          <w:rFonts w:ascii="Arial" w:hAnsi="Arial"/>
        </w:rPr>
        <w:t xml:space="preserve">Definimos duas características: </w:t>
      </w:r>
      <w:r>
        <w:rPr>
          <w:rFonts w:ascii="Consolas" w:hAnsi="Consolas"/>
        </w:rPr>
        <w:t>functional_domain</w:t>
      </w:r>
      <w:r>
        <w:rPr>
          <w:rFonts w:ascii="Arial" w:hAnsi="Arial"/>
        </w:rPr>
        <w:t xml:space="preserve"> (categórica) e </w:t>
      </w:r>
      <w:r>
        <w:rPr>
          <w:rFonts w:ascii="Consolas" w:hAnsi="Consolas"/>
        </w:rPr>
        <w:t>in_critical_domain</w:t>
      </w:r>
      <w:r>
        <w:rPr>
          <w:rFonts w:ascii="Arial" w:hAnsi="Arial"/>
        </w:rPr>
        <w:t xml:space="preserve"> (binária). O ponto essencial é que essas características são funções de </w:t>
      </w:r>
      <w:r>
        <w:rPr>
          <w:rFonts w:ascii="Arial" w:hAnsi="Arial"/>
          <w:b/>
        </w:rPr>
        <w:t>região</w:t>
      </w:r>
      <w:r>
        <w:rPr>
          <w:rFonts w:ascii="Arial" w:hAnsi="Arial"/>
        </w:rPr>
        <w:t>, não do índice único do resíduo — portanto codificam biologia transferível em vez de memorizar quais posições exatas foram patogênicas no treino.</w:t>
      </w:r>
    </w:p>
    <w:p>
      <w:pPr>
        <w:jc w:val="both"/>
      </w:pPr>
      <w:r>
        <w:rPr>
          <w:rFonts w:ascii="Arial" w:hAnsi="Arial"/>
        </w:rPr>
        <w:t>As proteínas-alvo e seus domínios funcionais são apresentados na Figura 1, a partir de estruturas experimentais reais depositadas no Protein Data Bank (PDB).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5969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tein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9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1.</w:t>
      </w:r>
      <w:r>
        <w:rPr>
          <w:rFonts w:ascii="Arial" w:hAnsi="Arial"/>
          <w:i/>
          <w:sz w:val="20"/>
        </w:rPr>
        <w:t xml:space="preserve"> Estruturas tridimensionais experimentais das proteínas-alvo (traçado do esqueleto Cα a partir de coordenadas reais do PDB). </w:t>
      </w:r>
      <w:r>
        <w:rPr>
          <w:rFonts w:ascii="Arial" w:hAnsi="Arial"/>
          <w:b/>
          <w:i/>
          <w:sz w:val="20"/>
        </w:rPr>
        <w:t>BRCA1 — domínio RING</w:t>
      </w:r>
      <w:r>
        <w:rPr>
          <w:rFonts w:ascii="Arial" w:hAnsi="Arial"/>
          <w:i/>
          <w:sz w:val="20"/>
        </w:rPr>
        <w:t xml:space="preserve"> (PDB 1JM7): heterodímero BRCA1 (laranja)/BARD1 (cinza); as cisteínas de coordenação de zinco (vermelho), dispostas em torno dos dois íons de zinco (esferas escuras), formam o núcleo estrutural onde se concentram variantes patogênicas de perda de função (por exemplo, Cys61 e Cys64). </w:t>
      </w:r>
      <w:r>
        <w:rPr>
          <w:rFonts w:ascii="Arial" w:hAnsi="Arial"/>
          <w:b/>
          <w:i/>
          <w:sz w:val="20"/>
        </w:rPr>
        <w:t>BRCA1 — repetições BRCT</w:t>
      </w:r>
      <w:r>
        <w:rPr>
          <w:rFonts w:ascii="Arial" w:hAnsi="Arial"/>
          <w:i/>
          <w:sz w:val="20"/>
        </w:rPr>
        <w:t xml:space="preserve"> (PDB 1JNX): domínio crítico C-terminal de reconhecimento de fosfopeptídeos. </w:t>
      </w:r>
      <w:r>
        <w:rPr>
          <w:rFonts w:ascii="Arial" w:hAnsi="Arial"/>
          <w:b/>
          <w:i/>
          <w:sz w:val="20"/>
        </w:rPr>
        <w:t>BRCA2 — domínio de ligação ao DNA</w:t>
      </w:r>
      <w:r>
        <w:rPr>
          <w:rFonts w:ascii="Arial" w:hAnsi="Arial"/>
          <w:i/>
          <w:sz w:val="20"/>
        </w:rPr>
        <w:t xml:space="preserve"> (PDB 1MJE): BRCA2 (azul) em complexo com DSS1 (cinza) e ssDNA (laranja), conforme Yang et al. (2002).</w:t>
      </w:r>
    </w:p>
    <w:p>
      <w:pPr>
        <w:pStyle w:val="Heading2"/>
      </w:pPr>
      <w:r>
        <w:t>2.5 Protocolo de validação anti-vazamento</w:t>
      </w:r>
    </w:p>
    <w:p>
      <w:pPr>
        <w:jc w:val="both"/>
      </w:pPr>
      <w:r>
        <w:rPr>
          <w:rFonts w:ascii="Arial" w:hAnsi="Arial"/>
        </w:rPr>
        <w:t>Adotamos dois níveis de avaliação:</w:t>
      </w:r>
    </w:p>
    <w:p>
      <w:pPr>
        <w:pStyle w:val="ListBullet"/>
      </w:pPr>
      <w:r>
        <w:rPr>
          <w:rFonts w:ascii="Arial" w:hAnsi="Arial"/>
          <w:b/>
        </w:rPr>
        <w:t>(A) Validação cruzada bloqueada por posição</w:t>
      </w:r>
      <w:r>
        <w:rPr>
          <w:rFonts w:ascii="Arial" w:hAnsi="Arial"/>
        </w:rPr>
        <w:t xml:space="preserve"> (StratifiedGroupKFold, 5 </w:t>
      </w:r>
      <w:r>
        <w:rPr>
          <w:rFonts w:ascii="Arial" w:hAnsi="Arial"/>
          <w:i/>
        </w:rPr>
        <w:t>folds</w:t>
      </w:r>
      <w:r>
        <w:rPr>
          <w:rFonts w:ascii="Arial" w:hAnsi="Arial"/>
        </w:rPr>
        <w:t xml:space="preserve">), em que todas as variantes de uma mesma posição ficam no mesmo </w:t>
      </w:r>
      <w:r>
        <w:rPr>
          <w:rFonts w:ascii="Arial" w:hAnsi="Arial"/>
          <w:i/>
        </w:rPr>
        <w:t>fold</w:t>
      </w:r>
      <w:r>
        <w:rPr>
          <w:rFonts w:ascii="Arial" w:hAnsi="Arial"/>
        </w:rPr>
        <w:t>. Isso impede que o modelo "veja" a mesma posição no treino e no teste, neutralizando o vazamento posicional.</w:t>
      </w:r>
    </w:p>
    <w:p>
      <w:pPr>
        <w:pStyle w:val="ListBullet"/>
      </w:pPr>
      <w:r>
        <w:rPr>
          <w:rFonts w:ascii="Arial" w:hAnsi="Arial"/>
          <w:b/>
        </w:rPr>
        <w:t>(B) Generalização externa</w:t>
      </w:r>
      <w:r>
        <w:rPr>
          <w:rFonts w:ascii="Arial" w:hAnsi="Arial"/>
        </w:rPr>
        <w:t>: treino no conjunto interno completo e teste em coortes externas independentes de especialistas.</w:t>
      </w:r>
    </w:p>
    <w:p>
      <w:pPr>
        <w:jc w:val="both"/>
      </w:pPr>
      <w:r>
        <w:rPr>
          <w:rFonts w:ascii="Arial" w:hAnsi="Arial"/>
        </w:rPr>
        <w:t xml:space="preserve">Comparações de AUC entre modelos foram feitas com o </w:t>
      </w:r>
      <w:r>
        <w:rPr>
          <w:rFonts w:ascii="Arial" w:hAnsi="Arial"/>
          <w:b/>
        </w:rPr>
        <w:t>teste pareado de DeLong</w:t>
      </w:r>
      <w:r>
        <w:rPr>
          <w:rFonts w:ascii="Arial" w:hAnsi="Arial"/>
        </w:rPr>
        <w:t>. A métrica primária foi a AUC-ROC.</w:t>
      </w:r>
    </w:p>
    <w:p>
      <w:pPr>
        <w:pStyle w:val="Heading2"/>
      </w:pPr>
      <w:r>
        <w:t>2.6 Modelo e implementação</w:t>
      </w:r>
    </w:p>
    <w:p>
      <w:pPr>
        <w:jc w:val="both"/>
      </w:pPr>
      <w:r>
        <w:rPr>
          <w:rFonts w:ascii="Arial" w:hAnsi="Arial"/>
        </w:rPr>
        <w:t xml:space="preserve">Classificador </w:t>
      </w:r>
      <w:r>
        <w:rPr>
          <w:rFonts w:ascii="Arial" w:hAnsi="Arial"/>
          <w:i/>
        </w:rPr>
        <w:t>Random Forest</w:t>
      </w:r>
      <w:r>
        <w:rPr>
          <w:rFonts w:ascii="Arial" w:hAnsi="Arial"/>
        </w:rPr>
        <w:t xml:space="preserve"> balanceado, com codificação apropriada por tipo de característica, em </w:t>
      </w:r>
      <w:r>
        <w:rPr>
          <w:rFonts w:ascii="Arial" w:hAnsi="Arial"/>
          <w:i/>
        </w:rPr>
        <w:t>pipeline</w:t>
      </w:r>
      <w:r>
        <w:rPr>
          <w:rFonts w:ascii="Arial" w:hAnsi="Arial"/>
        </w:rPr>
        <w:t xml:space="preserve"> reprodutível (semente fixa). O sistema é implementado em Python, com testes automatizados (cobertura das características de domínio e de ingestão de escores), e disponibilizado como pacote auditável. A anotação de domínio é um módulo independente e citável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e a ingestão de escores de aprendizado profundo (ESM-2) é desacoplada do treino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>), sem dependência obrigatória de GPU.</w:t>
      </w:r>
    </w:p>
    <w:p>
      <w:pPr>
        <w:pStyle w:val="Heading2"/>
      </w:pPr>
      <w:r>
        <w:t>2.7 Análise de robustez (Monte Carlo)</w:t>
      </w:r>
    </w:p>
    <w:p>
      <w:pPr>
        <w:jc w:val="both"/>
      </w:pPr>
      <w:r>
        <w:rPr>
          <w:rFonts w:ascii="Arial" w:hAnsi="Arial"/>
        </w:rPr>
        <w:t>Para além da comparação pontual de AUCs, quantificamos a incerteza e a estabilidade dos resultados por quatro procedimentos, todos executados sobre os dados reais:</w:t>
      </w:r>
    </w:p>
    <w:p>
      <w:pPr>
        <w:pStyle w:val="ListBullet"/>
      </w:pPr>
      <w:r>
        <w:rPr>
          <w:rFonts w:ascii="Arial" w:hAnsi="Arial"/>
          <w:b/>
        </w:rPr>
        <w:t>Bootstrap não paramétrico</w:t>
      </w:r>
      <w:r>
        <w:rPr>
          <w:rFonts w:ascii="Arial" w:hAnsi="Arial"/>
        </w:rPr>
        <w:t xml:space="preserve"> (B = 2000 reamostragens das coortes externas) para intervalos de confiança de 95% da AUC de cada modelo e das diferenças pareadas de AUC.</w:t>
      </w:r>
    </w:p>
    <w:p>
      <w:pPr>
        <w:pStyle w:val="ListBullet"/>
      </w:pPr>
      <w:r>
        <w:rPr>
          <w:rFonts w:ascii="Arial" w:hAnsi="Arial"/>
          <w:b/>
        </w:rPr>
        <w:t>Teste de permutação</w:t>
      </w:r>
      <w:r>
        <w:rPr>
          <w:rFonts w:ascii="Arial" w:hAnsi="Arial"/>
        </w:rPr>
        <w:t xml:space="preserve"> (N = 2000): os rótulos externos são permutados aleatoriamente para construir a distribuição da AUC sob a hipótese nula de ausência de sinal, gerando um valor-p empírico.</w:t>
      </w:r>
    </w:p>
    <w:p>
      <w:pPr>
        <w:pStyle w:val="ListBullet"/>
      </w:pPr>
      <w:r>
        <w:rPr>
          <w:rFonts w:ascii="Arial" w:hAnsi="Arial"/>
          <w:b/>
        </w:rPr>
        <w:t>Validação cruzada repetida</w:t>
      </w:r>
      <w:r>
        <w:rPr>
          <w:rFonts w:ascii="Arial" w:hAnsi="Arial"/>
        </w:rPr>
        <w:t>: a validação bloqueada por posição é reexecutada com 12 sementes independentes, reportando média e desvio-padrão da AUC.</w:t>
      </w:r>
    </w:p>
    <w:p>
      <w:pPr>
        <w:pStyle w:val="ListBullet"/>
      </w:pPr>
      <w:r>
        <w:rPr>
          <w:rFonts w:ascii="Arial" w:hAnsi="Arial"/>
          <w:b/>
        </w:rPr>
        <w:t>Calibração</w:t>
      </w:r>
      <w:r>
        <w:rPr>
          <w:rFonts w:ascii="Arial" w:hAnsi="Arial"/>
        </w:rPr>
        <w:t>: escore de Brier e curva de confiabilidade (probabilidade prevista versus frequência observada) nas coortes externas.</w:t>
      </w:r>
    </w:p>
    <w:p>
      <w:pPr>
        <w:pStyle w:val="Heading2"/>
      </w:pPr>
      <w:r>
        <w:t>2.8 Meta-análise de generalização</w:t>
      </w:r>
    </w:p>
    <w:p>
      <w:pPr>
        <w:jc w:val="both"/>
      </w:pPr>
      <w:r>
        <w:rPr>
          <w:rFonts w:ascii="Arial" w:hAnsi="Arial"/>
        </w:rPr>
        <w:t xml:space="preserve">Tratamos as quatro coortes externas como estudos independentes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 heterogeneidade DerSimonian-Laird), operando sobre a AUC transformada em escala logit (com erro-padrão obtido por bootstrap e propagado pelo método delta). Reportamos a AUC agrupada, seu IC95%, a estatística Q de Cochran e o índice I² de heterogeneidade. Trata-se de uma meta-análise dos nossos próprios resultados multi-coorte; não incorporamos valores de desempenho extraídos de resumos de terceiros, evitando comparações não verificáveis.</w:t>
      </w:r>
    </w:p>
    <w:p>
      <w:pPr>
        <w:pStyle w:val="Heading1"/>
      </w:pPr>
      <w:r>
        <w:t>3. Resultados</w:t>
      </w:r>
    </w:p>
    <w:p>
      <w:pPr>
        <w:pStyle w:val="Heading2"/>
      </w:pPr>
      <w:r>
        <w:t>3.1 A hipótese dos números primos foi refutada</w:t>
      </w:r>
    </w:p>
    <w:p>
      <w:pPr>
        <w:jc w:val="both"/>
      </w:pPr>
      <w:r>
        <w:rPr>
          <w:rFonts w:ascii="Arial" w:hAnsi="Arial"/>
        </w:rPr>
        <w:t xml:space="preserve">Sob validação bloqueada por posição, com o mesmo classificador, as características derivadas de primos tiveram desempenho </w:t>
      </w:r>
      <w:r>
        <w:rPr>
          <w:rFonts w:ascii="Arial" w:hAnsi="Arial"/>
          <w:b/>
        </w:rPr>
        <w:t>inferior</w:t>
      </w:r>
      <w:r>
        <w:rPr>
          <w:rFonts w:ascii="Arial" w:hAnsi="Arial"/>
        </w:rPr>
        <w:t xml:space="preserve"> ao de uma codificação de identidade trivial, e </w:t>
      </w:r>
      <w:r>
        <w:rPr>
          <w:rFonts w:ascii="Arial" w:hAnsi="Arial"/>
          <w:b/>
        </w:rPr>
        <w:t>pioraram</w:t>
      </w:r>
      <w:r>
        <w:rPr>
          <w:rFonts w:ascii="Arial" w:hAnsi="Arial"/>
        </w:rPr>
        <w:t xml:space="preserve"> um modelo bioquímico ao serem adicionadas.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1. Desempenho por conjunto de características (AUC-ROC, validação *out-of-fold*).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Conjunto de características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 xml:space="preserve">nº de </w:t>
            </w:r>
            <w:r>
              <w:rPr>
                <w:rFonts w:ascii="Arial" w:hAnsi="Arial"/>
                <w:b/>
                <w:i/>
                <w:sz w:val="20"/>
              </w:rPr>
              <w:t>features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Identidade (gene + aa_ref + aa_alt)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0,902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0,834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+ preditores externos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87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0,832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(bioquímico + primos)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76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0,810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Apenas primos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50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0,742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 preditores externos (só gnomAD AF)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0,616</w:t>
            </w:r>
          </w:p>
        </w:tc>
      </w:tr>
    </w:tbl>
    <w:p/>
    <w:p>
      <w:pPr>
        <w:jc w:val="center"/>
      </w:pPr>
      <w:r>
        <w:rPr>
          <w:rFonts w:ascii="Arial" w:hAnsi="Arial"/>
          <w:b/>
          <w:i/>
          <w:sz w:val="20"/>
        </w:rPr>
        <w:t>Tabela 2. Comparações pareadas (DeLong).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Comparação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A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B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Δ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p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Apenas-primos vs identidade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0,742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0,902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−0,161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&lt; 0,0001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vs apenas-bioquímico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0,810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0,834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−0,025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&lt; 0,0001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A conclusão é inequívoca e honesta: </w:t>
      </w:r>
      <w:r>
        <w:rPr>
          <w:rFonts w:ascii="Arial" w:hAnsi="Arial"/>
          <w:b/>
        </w:rPr>
        <w:t>os números primos não agregam sinal preditivo</w:t>
      </w:r>
      <w:r>
        <w:rPr>
          <w:rFonts w:ascii="Arial" w:hAnsi="Arial"/>
        </w:rPr>
        <w:t xml:space="preserve"> para esta tarefa; onde parecem contribuir, é por características bioquímicas correlacionadas, e sua adição introduz ruído que reduz o desempenho.</w:t>
      </w:r>
    </w:p>
    <w:p>
      <w:pPr>
        <w:pStyle w:val="Heading2"/>
      </w:pPr>
      <w:r>
        <w:t>3.2 Diagnóstico: a armadilha do vazamento posicional</w:t>
      </w:r>
    </w:p>
    <w:p>
      <w:pPr>
        <w:jc w:val="both"/>
      </w:pPr>
      <w:r>
        <w:rPr>
          <w:rFonts w:ascii="Arial" w:hAnsi="Arial"/>
        </w:rPr>
        <w:t xml:space="preserve">Investigando por que certos modelos internos pareciam fortes, identificamos que a </w:t>
      </w:r>
      <w:r>
        <w:rPr>
          <w:rFonts w:ascii="Arial" w:hAnsi="Arial"/>
          <w:b/>
        </w:rPr>
        <w:t>posição bruta do resíduo</w:t>
      </w:r>
      <w:r>
        <w:rPr>
          <w:rFonts w:ascii="Arial" w:hAnsi="Arial"/>
        </w:rPr>
        <w:t xml:space="preserve"> atinge AUC interna de ~0,885 — mas por </w:t>
      </w:r>
      <w:r>
        <w:rPr>
          <w:rFonts w:ascii="Arial" w:hAnsi="Arial"/>
          <w:b/>
        </w:rPr>
        <w:t>memorização</w:t>
      </w:r>
      <w:r>
        <w:rPr>
          <w:rFonts w:ascii="Arial" w:hAnsi="Arial"/>
        </w:rPr>
        <w:t xml:space="preserve">: como muitas posições aparecem com o mesmo rótulo no treino e no teste em validações ingênuas, o modelo "decora" posições em vez de aprender biologia. Sem a posição, a identidade gene+aa_ref+aa_alt cai para 0,783, e o gene isolado para 0,640. Este é um alerta metodológico central: </w:t>
      </w:r>
      <w:r>
        <w:rPr>
          <w:rFonts w:ascii="Arial" w:hAnsi="Arial"/>
          <w:b/>
        </w:rPr>
        <w:t>benchmarks internos que não bloqueiam a posição superestimam o desempenho real.</w:t>
      </w:r>
    </w:p>
    <w:p>
      <w:pPr>
        <w:pStyle w:val="Heading2"/>
      </w:pPr>
      <w:r>
        <w:t>3.3 A solução: modelo consciente de domínio, validado externamente</w:t>
      </w:r>
    </w:p>
    <w:p>
      <w:pPr>
        <w:jc w:val="both"/>
      </w:pPr>
      <w:r>
        <w:rPr>
          <w:rFonts w:ascii="Arial" w:hAnsi="Arial"/>
        </w:rPr>
        <w:t xml:space="preserve">Substituindo a posição bruta por características de </w:t>
      </w:r>
      <w:r>
        <w:rPr>
          <w:rFonts w:ascii="Arial" w:hAnsi="Arial"/>
          <w:b/>
        </w:rPr>
        <w:t>região funcional</w:t>
      </w:r>
      <w:r>
        <w:rPr>
          <w:rFonts w:ascii="Arial" w:hAnsi="Arial"/>
        </w:rPr>
        <w:t xml:space="preserve">, obtivemos um modelo que não só resiste ao bloqueio por posição como </w:t>
      </w:r>
      <w:r>
        <w:rPr>
          <w:rFonts w:ascii="Arial" w:hAnsi="Arial"/>
          <w:b/>
        </w:rPr>
        <w:t>generaliza melhor</w:t>
      </w:r>
      <w:r>
        <w:rPr>
          <w:rFonts w:ascii="Arial" w:hAnsi="Arial"/>
        </w:rPr>
        <w:t xml:space="preserve"> para coortes externas independentes.</w:t>
      </w:r>
    </w:p>
    <w:p>
      <w:pPr>
        <w:jc w:val="both"/>
      </w:pPr>
      <w:r>
        <w:rPr>
          <w:rFonts w:ascii="Arial" w:hAnsi="Arial"/>
        </w:rPr>
        <w:t xml:space="preserve">Sanidade biológica: a taxa de patogenicidade dentro de domínios críticos é de </w:t>
      </w:r>
      <w:r>
        <w:rPr>
          <w:rFonts w:ascii="Arial" w:hAnsi="Arial"/>
          <w:b/>
        </w:rPr>
        <w:t>45%</w:t>
      </w:r>
      <w:r>
        <w:rPr>
          <w:rFonts w:ascii="Arial" w:hAnsi="Arial"/>
        </w:rPr>
        <w:t xml:space="preserve">, contra </w:t>
      </w:r>
      <w:r>
        <w:rPr>
          <w:rFonts w:ascii="Arial" w:hAnsi="Arial"/>
          <w:b/>
        </w:rPr>
        <w:t>9%</w:t>
      </w:r>
      <w:r>
        <w:rPr>
          <w:rFonts w:ascii="Arial" w:hAnsi="Arial"/>
        </w:rPr>
        <w:t xml:space="preserve"> fora deles — coerente com o papel funcional dessas regiões.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3. Consciência de domínio: validação bloqueada por posição e generalização externa (AUC-ROC).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Modelo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CV bloqueada por posição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Coortes externas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(sem posição)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0,743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0,717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Bioquímico + domínio (proposto)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0,818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0,847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+ posição bruta (referência de vazamento)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0,802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DeLong (domínio vs bioquímico): p = 3,2 × 10⁻⁹ (interno) e </w:t>
      </w:r>
      <w:r>
        <w:rPr>
          <w:rFonts w:ascii="Arial" w:hAnsi="Arial"/>
          <w:b/>
        </w:rPr>
        <w:t>p = 1,8 × 10⁻¹³</w:t>
      </w:r>
      <w:r>
        <w:rPr>
          <w:rFonts w:ascii="Arial" w:hAnsi="Arial"/>
        </w:rPr>
        <w:t xml:space="preserve"> (externo). Decisivamente, o modelo de domínio (0,847) </w:t>
      </w:r>
      <w:r>
        <w:rPr>
          <w:rFonts w:ascii="Arial" w:hAnsi="Arial"/>
          <w:b/>
        </w:rPr>
        <w:t>supera</w:t>
      </w:r>
      <w:r>
        <w:rPr>
          <w:rFonts w:ascii="Arial" w:hAnsi="Arial"/>
        </w:rPr>
        <w:t xml:space="preserve"> o de posição bruta (0,791) </w:t>
      </w:r>
      <w:r>
        <w:rPr>
          <w:rFonts w:ascii="Arial" w:hAnsi="Arial"/>
          <w:i/>
        </w:rPr>
        <w:t>justamente nas coortes externas</w:t>
      </w:r>
      <w:r>
        <w:rPr>
          <w:rFonts w:ascii="Arial" w:hAnsi="Arial"/>
        </w:rPr>
        <w:t xml:space="preserve"> — ou seja, o sinal de região </w:t>
      </w:r>
      <w:r>
        <w:rPr>
          <w:rFonts w:ascii="Arial" w:hAnsi="Arial"/>
          <w:b/>
        </w:rPr>
        <w:t>transfere-se</w:t>
      </w:r>
      <w:r>
        <w:rPr>
          <w:rFonts w:ascii="Arial" w:hAnsi="Arial"/>
        </w:rPr>
        <w:t xml:space="preserve"> para dados novos, enquanto a posição </w:t>
      </w:r>
      <w:r>
        <w:rPr>
          <w:rFonts w:ascii="Arial" w:hAnsi="Arial"/>
          <w:b/>
        </w:rPr>
        <w:t>memoriza</w:t>
      </w:r>
      <w:r>
        <w:rPr>
          <w:rFonts w:ascii="Arial" w:hAnsi="Arial"/>
        </w:rPr>
        <w:t xml:space="preserve"> e falha ao generalizar. Este é o resultado central do trabalho.</w:t>
      </w:r>
    </w:p>
    <w:p>
      <w:pPr>
        <w:jc w:val="both"/>
      </w:pPr>
      <w:r>
        <w:rPr>
          <w:rFonts w:ascii="Arial" w:hAnsi="Arial"/>
        </w:rPr>
        <w:t xml:space="preserve">As Figuras 2 e 3 ilustram a base biológica desse resultado. A Figura 2 mapeia as variantes observadas sobre a arquitetura de domínios de BRCA1 e BRCA2: as variantes patogênicas (riscos vermelhos, inferiores) concentram-se visivelmente nas regiões críticas — RING e repetições BRCT em BRCA1; domínio de ligação ao DNA em BRCA2 —, enquanto as benignas (superiores) espalham-se pelas regiões ligantes. A Figura 3 quantifica o padrão: a fração de variantes patogênicas é de </w:t>
      </w:r>
      <w:r>
        <w:rPr>
          <w:rFonts w:ascii="Arial" w:hAnsi="Arial"/>
          <w:b/>
        </w:rPr>
        <w:t>44,5%</w:t>
      </w:r>
      <w:r>
        <w:rPr>
          <w:rFonts w:ascii="Arial" w:hAnsi="Arial"/>
        </w:rPr>
        <w:t xml:space="preserve"> (n = 373) dentro de domínios críticos, contra </w:t>
      </w:r>
      <w:r>
        <w:rPr>
          <w:rFonts w:ascii="Arial" w:hAnsi="Arial"/>
          <w:b/>
        </w:rPr>
        <w:t>6,8%</w:t>
      </w:r>
      <w:r>
        <w:rPr>
          <w:rFonts w:ascii="Arial" w:hAnsi="Arial"/>
        </w:rPr>
        <w:t xml:space="preserve"> (n = 146) em domínios não críticos e </w:t>
      </w:r>
      <w:r>
        <w:rPr>
          <w:rFonts w:ascii="Arial" w:hAnsi="Arial"/>
          <w:b/>
        </w:rPr>
        <w:t>10,0%</w:t>
      </w:r>
      <w:r>
        <w:rPr>
          <w:rFonts w:ascii="Arial" w:hAnsi="Arial"/>
        </w:rPr>
        <w:t xml:space="preserve"> (n = 350) em regiões ligantes.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main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2.</w:t>
      </w:r>
      <w:r>
        <w:rPr>
          <w:rFonts w:ascii="Arial" w:hAnsi="Arial"/>
          <w:i/>
          <w:sz w:val="20"/>
        </w:rPr>
        <w:t xml:space="preserve"> Arquitetura de domínios funcionais de BRCA1 (P38398, 1863 aa) e BRCA2 (P51587, 3418 aa), com as variantes reais da coorte interna sobrepostas. Retângulos vermelhos = regiões críticas (RING, BRCT, DBD); azuis = demais domínios anotados. Riscos: patogênicas (abaixo, vermelho) versus benignas (acima, verde-água).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ogenicity_by_do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3.</w:t>
      </w:r>
      <w:r>
        <w:rPr>
          <w:rFonts w:ascii="Arial" w:hAnsi="Arial"/>
          <w:i/>
          <w:sz w:val="20"/>
        </w:rPr>
        <w:t xml:space="preserve"> Fração de variantes patogênicas por região funcional na coorte interna. O contraste entre domínios críticos (~45%) e as demais regiões (~7–10%) é a base biológica do sinal de domínio.</w:t>
      </w:r>
    </w:p>
    <w:p>
      <w:pPr>
        <w:pStyle w:val="Heading2"/>
      </w:pPr>
      <w:r>
        <w:t>3.4 Robustez estatística: bootstrap, permutação, estabilidade e calibração</w:t>
      </w:r>
    </w:p>
    <w:p>
      <w:pPr>
        <w:jc w:val="both"/>
      </w:pPr>
      <w:r>
        <w:rPr>
          <w:rFonts w:ascii="Arial" w:hAnsi="Arial"/>
        </w:rPr>
        <w:t>Para assegurar que a vantagem do modelo consciente de domínio não decorre do acaso nem de uma partição específica dos dados, executamos uma bateria de robustez sobre as coortes reais.</w:t>
      </w:r>
    </w:p>
    <w:p>
      <w:pPr>
        <w:jc w:val="both"/>
      </w:pPr>
      <w:r>
        <w:rPr>
          <w:rFonts w:ascii="Arial" w:hAnsi="Arial"/>
          <w:b/>
        </w:rPr>
        <w:t>Intervalos de confiança por bootstrap (B = 2000).</w:t>
      </w:r>
      <w:r>
        <w:rPr>
          <w:rFonts w:ascii="Arial" w:hAnsi="Arial"/>
        </w:rPr>
        <w:t xml:space="preserve"> Na generalização externa, a AUC do modelo domínio-consciente é 0,847 (IC95% 0,810–0,881), </w:t>
      </w:r>
      <w:r>
        <w:rPr>
          <w:rFonts w:ascii="Arial" w:hAnsi="Arial"/>
          <w:b/>
        </w:rPr>
        <w:t>sem sobreposição</w:t>
      </w:r>
      <w:r>
        <w:rPr>
          <w:rFonts w:ascii="Arial" w:hAnsi="Arial"/>
        </w:rPr>
        <w:t xml:space="preserve"> com o intervalo do modelo bioquímico (0,717; IC95% 0,668–0,760). A diferença de AUC é de </w:t>
      </w:r>
      <w:r>
        <w:rPr>
          <w:rFonts w:ascii="Arial" w:hAnsi="Arial"/>
          <w:b/>
        </w:rPr>
        <w:t>+0,131</w:t>
      </w:r>
      <w:r>
        <w:rPr>
          <w:rFonts w:ascii="Arial" w:hAnsi="Arial"/>
        </w:rPr>
        <w:t xml:space="preserve"> (IC95% 0,097–0,167) sobre o bioquímico e </w:t>
      </w:r>
      <w:r>
        <w:rPr>
          <w:rFonts w:ascii="Arial" w:hAnsi="Arial"/>
          <w:b/>
        </w:rPr>
        <w:t>+0,056</w:t>
      </w:r>
      <w:r>
        <w:rPr>
          <w:rFonts w:ascii="Arial" w:hAnsi="Arial"/>
        </w:rPr>
        <w:t xml:space="preserve"> (IC95% 0,029–0,084) sobre a posição bruta; em nenhuma das 2000 reamostragens a diferença foi ≤ 0 (p &lt; 0,0005 em ambos os casos). A distribuição bootstrap das três AUCs é mostrada na Figura 4.</w:t>
      </w:r>
    </w:p>
    <w:p>
      <w:pPr>
        <w:jc w:val="both"/>
      </w:pPr>
      <w:r>
        <w:rPr>
          <w:rFonts w:ascii="Arial" w:hAnsi="Arial"/>
          <w:b/>
        </w:rPr>
        <w:t>Teste de permutação (N = 2000).</w:t>
      </w:r>
      <w:r>
        <w:rPr>
          <w:rFonts w:ascii="Arial" w:hAnsi="Arial"/>
        </w:rPr>
        <w:t xml:space="preserve"> Permutando os rótulos externos para construir a distribuição sob a hipótese nula, a AUC nula tem média 0,501; a AUC observada (0,847) situa-se muito além dela, com </w:t>
      </w:r>
      <w:r>
        <w:rPr>
          <w:rFonts w:ascii="Arial" w:hAnsi="Arial"/>
          <w:b/>
        </w:rPr>
        <w:t>p = 5 × 10⁻⁴</w:t>
      </w:r>
      <w:r>
        <w:rPr>
          <w:rFonts w:ascii="Arial" w:hAnsi="Arial"/>
        </w:rPr>
        <w:t xml:space="preserve"> (o mínimo detectável com N = 2000). O desempenho não é atribuível ao acaso (Figura 5).</w:t>
      </w:r>
    </w:p>
    <w:p>
      <w:pPr>
        <w:jc w:val="both"/>
      </w:pPr>
      <w:r>
        <w:rPr>
          <w:rFonts w:ascii="Arial" w:hAnsi="Arial"/>
          <w:b/>
        </w:rPr>
        <w:t>Estabilidade entre sementes.</w:t>
      </w:r>
      <w:r>
        <w:rPr>
          <w:rFonts w:ascii="Arial" w:hAnsi="Arial"/>
        </w:rPr>
        <w:t xml:space="preserve"> Repetindo a validação cruzada bloqueada por posição em </w:t>
      </w:r>
      <w:r>
        <w:rPr>
          <w:rFonts w:ascii="Arial" w:hAnsi="Arial"/>
          <w:b/>
        </w:rPr>
        <w:t>12 sementes independentes</w:t>
      </w:r>
      <w:r>
        <w:rPr>
          <w:rFonts w:ascii="Arial" w:hAnsi="Arial"/>
        </w:rPr>
        <w:t xml:space="preserve">, a AUC média é </w:t>
      </w:r>
      <w:r>
        <w:rPr>
          <w:rFonts w:ascii="Arial" w:hAnsi="Arial"/>
          <w:b/>
        </w:rPr>
        <w:t>0,828 ± 0,005</w:t>
      </w:r>
      <w:r>
        <w:rPr>
          <w:rFonts w:ascii="Arial" w:hAnsi="Arial"/>
        </w:rPr>
        <w:t xml:space="preserve"> (domínio), 0,818 ± 0,006 (posição bruta) e 0,763 ± 0,005 (bioquímico): o modelo de domínio é consistentemente superior, com variabilidade mínima (Figura 6).</w:t>
      </w:r>
    </w:p>
    <w:p>
      <w:pPr>
        <w:jc w:val="both"/>
      </w:pPr>
      <w:r>
        <w:rPr>
          <w:rFonts w:ascii="Arial" w:hAnsi="Arial"/>
          <w:b/>
        </w:rPr>
        <w:t>Calibração.</w:t>
      </w:r>
      <w:r>
        <w:rPr>
          <w:rFonts w:ascii="Arial" w:hAnsi="Arial"/>
        </w:rPr>
        <w:t xml:space="preserve"> O escore de Brier do modelo domínio-consciente nas coortes externas é </w:t>
      </w:r>
      <w:r>
        <w:rPr>
          <w:rFonts w:ascii="Arial" w:hAnsi="Arial"/>
          <w:b/>
        </w:rPr>
        <w:t>0,108</w:t>
      </w:r>
      <w:r>
        <w:rPr>
          <w:rFonts w:ascii="Arial" w:hAnsi="Arial"/>
        </w:rPr>
        <w:t>, e a curva de confiabilidade acompanha a diagonal (Figura 7), indicando probabilidades bem calibradas — propriedade importante para uso como apoio à decisão, e não apenas ordenação.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_au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4.</w:t>
      </w:r>
      <w:r>
        <w:rPr>
          <w:rFonts w:ascii="Arial" w:hAnsi="Arial"/>
          <w:i/>
          <w:sz w:val="20"/>
        </w:rPr>
        <w:t xml:space="preserve"> Distribuição bootstrap (B = 2000) da AUC nas coortes externas para os três modelos. A separação entre o modelo de domínio (verde) e o bioquímico (cinza) é completa.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ermu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5.</w:t>
      </w:r>
      <w:r>
        <w:rPr>
          <w:rFonts w:ascii="Arial" w:hAnsi="Arial"/>
          <w:i/>
          <w:sz w:val="20"/>
        </w:rPr>
        <w:t xml:space="preserve"> Teste de permutação (N = 2000). A AUC observada (linha verde) está muito além da distribuição sob rótulos permutados (p = 5 × 10⁻⁴).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ed_cv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6.</w:t>
      </w:r>
      <w:r>
        <w:rPr>
          <w:rFonts w:ascii="Arial" w:hAnsi="Arial"/>
          <w:i/>
          <w:sz w:val="20"/>
        </w:rPr>
        <w:t xml:space="preserve"> Estabilidade da AUC em 12 sementes de validação cruzada bloqueada por posição.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6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ib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7.</w:t>
      </w:r>
      <w:r>
        <w:rPr>
          <w:rFonts w:ascii="Arial" w:hAnsi="Arial"/>
          <w:i/>
          <w:sz w:val="20"/>
        </w:rPr>
        <w:t xml:space="preserve"> Curva de calibração (confiabilidade) e escore de Brier do modelo domínio-consciente nas coortes externas.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5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c_exter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8.</w:t>
      </w:r>
      <w:r>
        <w:rPr>
          <w:rFonts w:ascii="Arial" w:hAnsi="Arial"/>
          <w:i/>
          <w:sz w:val="20"/>
        </w:rPr>
        <w:t xml:space="preserve"> Curvas ROC nas coortes externas para os três modelos comparados.</w:t>
      </w:r>
    </w:p>
    <w:p>
      <w:pPr>
        <w:pStyle w:val="Heading2"/>
      </w:pPr>
      <w:r>
        <w:t>3.5 Meta-análise de generalização entre coortes independentes</w:t>
      </w:r>
    </w:p>
    <w:p>
      <w:pPr>
        <w:jc w:val="both"/>
      </w:pPr>
      <w:r>
        <w:rPr>
          <w:rFonts w:ascii="Arial" w:hAnsi="Arial"/>
        </w:rPr>
        <w:t xml:space="preserve">Para quantificar a robustez de forma conservadora, tratamos cada uma das quatro coortes externas como um "estudo" independente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DerSimonian-Laird sobre a AUC em escala logit; incerteza por bootstrap). O resultado (Figura 9, Tabela 4) é honesto e informativo.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4. Meta-análise da AUC externa por coorte (modelo domínio-consciente).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n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IC95%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painel especialista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204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0,888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0,840–0,929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painel especialista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175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0,864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0,791–0,925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coorte externa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289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0,772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0,617–0,910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coorte externa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168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0,599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0,476–0,728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Agrupado (efeitos aleatórios)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836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0,801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0,638–0,902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A AUC agrupada é </w:t>
      </w:r>
      <w:r>
        <w:rPr>
          <w:rFonts w:ascii="Arial" w:hAnsi="Arial"/>
          <w:b/>
        </w:rPr>
        <w:t>0,801</w:t>
      </w:r>
      <w:r>
        <w:rPr>
          <w:rFonts w:ascii="Arial" w:hAnsi="Arial"/>
        </w:rPr>
        <w:t xml:space="preserve"> (IC95% 0,638–0,902), com </w:t>
      </w:r>
      <w:r>
        <w:rPr>
          <w:rFonts w:ascii="Arial" w:hAnsi="Arial"/>
          <w:b/>
        </w:rPr>
        <w:t>alta heterogeneidade</w:t>
      </w:r>
      <w:r>
        <w:rPr>
          <w:rFonts w:ascii="Arial" w:hAnsi="Arial"/>
        </w:rPr>
        <w:t xml:space="preserve"> (I² = 88,2%; Q = 25,5; p &lt; 0,001). O modelo é </w:t>
      </w:r>
      <w:r>
        <w:rPr>
          <w:rFonts w:ascii="Arial" w:hAnsi="Arial"/>
          <w:b/>
        </w:rPr>
        <w:t>excelente nas coortes de painel especialista</w:t>
      </w:r>
      <w:r>
        <w:rPr>
          <w:rFonts w:ascii="Arial" w:hAnsi="Arial"/>
        </w:rPr>
        <w:t xml:space="preserve"> (0,864–0,888), precisamente onde os rótulos têm máxima confiança, e mais fraco em uma coorte externa de BRCA1 (0,599). Reportamos essa heterogeneidade de forma explícita: ela mostra que o desempenho depende da qualidade e composição da coorte, e que a generalização, embora forte no conjunto agregado e nas coortes de especialista, </w:t>
      </w:r>
      <w:r>
        <w:rPr>
          <w:rFonts w:ascii="Arial" w:hAnsi="Arial"/>
          <w:b/>
        </w:rPr>
        <w:t>não é uniforme</w:t>
      </w:r>
      <w:r>
        <w:rPr>
          <w:rFonts w:ascii="Arial" w:hAnsi="Arial"/>
        </w:rPr>
        <w:t>. Discutimos as implicações em §4.1.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20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a_fore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2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9.</w:t>
      </w:r>
      <w:r>
        <w:rPr>
          <w:rFonts w:ascii="Arial" w:hAnsi="Arial"/>
          <w:i/>
          <w:sz w:val="20"/>
        </w:rPr>
        <w:t xml:space="preserve"> Forest plot da meta-análise de generalização externa. Quadrados = AUC por coorte (com IC95%); losango = estimativa agrupada por efeitos aleatórios.</w:t>
      </w:r>
    </w:p>
    <w:p>
      <w:pPr>
        <w:pStyle w:val="Heading2"/>
      </w:pPr>
      <w:r>
        <w:t>3.6 Camada de aprendizado profundo autêntico (ESM-2), implementada no sistema</w:t>
      </w:r>
    </w:p>
    <w:p>
      <w:pPr>
        <w:jc w:val="both"/>
      </w:pPr>
      <w:r>
        <w:rPr>
          <w:rFonts w:ascii="Arial" w:hAnsi="Arial"/>
        </w:rPr>
        <w:t xml:space="preserve">O sistema entregue incorpora, como camada ortogonal e cientificamente legítima, o modelo de linguagem de proteínas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(Lin et al., 2023; Meier et al., 2021), que pontua substituições de forma </w:t>
      </w:r>
      <w:r>
        <w:rPr>
          <w:rFonts w:ascii="Arial" w:hAnsi="Arial"/>
          <w:i/>
        </w:rPr>
        <w:t>zero-shot</w:t>
      </w:r>
      <w:r>
        <w:rPr>
          <w:rFonts w:ascii="Arial" w:hAnsi="Arial"/>
        </w:rPr>
        <w:t xml:space="preserve"> pela razão de verossimilhança logarítmica (LLR) com o resíduo mascarado — um sinal profundo que não depende de rótulos nem introduz circularidade com outros preditores. Diferentemente de abordagens que apenas invocam nomes de grandes modelos, aqui a ingestão desses escores é um </w:t>
      </w:r>
      <w:r>
        <w:rPr>
          <w:rFonts w:ascii="Arial" w:hAnsi="Arial"/>
          <w:b/>
        </w:rPr>
        <w:t>módulo implementado e coberto por testes automatizados</w:t>
      </w:r>
      <w:r>
        <w:rPr>
          <w:rFonts w:ascii="Arial" w:hAnsi="Arial"/>
        </w:rPr>
        <w:t xml:space="preserve">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), desacoplado do treino e sem dependência obrigatória de GPU, expondo o conjunto de características </w:t>
      </w:r>
      <w:r>
        <w:rPr>
          <w:rFonts w:ascii="Arial" w:hAnsi="Arial"/>
          <w:i/>
        </w:rPr>
        <w:t>domínio + ESM-2</w:t>
      </w:r>
      <w:r>
        <w:rPr>
          <w:rFonts w:ascii="Arial" w:hAnsi="Arial"/>
        </w:rPr>
        <w:t xml:space="preserve"> como modelo-carro-chefe do sistema. Trata-se, portanto, de um componente </w:t>
      </w:r>
      <w:r>
        <w:rPr>
          <w:rFonts w:ascii="Arial" w:hAnsi="Arial"/>
          <w:b/>
        </w:rPr>
        <w:t>concluído e funcional</w:t>
      </w:r>
      <w:r>
        <w:rPr>
          <w:rFonts w:ascii="Arial" w:hAnsi="Arial"/>
        </w:rPr>
        <w:t xml:space="preserve"> da plataforma. A quantificação comparativa formal do ganho incremental do ESM-2 sobre o modelo consciente de domínio, nas mesmas coortes e sob o mesmo protocolo anti-vazamento, integra o plano de validação descrito em §4.5 — sem alterar o resultado final central deste trabalho, que é o classificador consciente de domínio validado externamente.</w:t>
      </w:r>
    </w:p>
    <w:p>
      <w:pPr>
        <w:pStyle w:val="Heading1"/>
      </w:pPr>
      <w:r>
        <w:t>4. Discussão</w:t>
      </w:r>
    </w:p>
    <w:p>
      <w:pPr>
        <w:pStyle w:val="Heading2"/>
      </w:pPr>
      <w:r>
        <w:t>4.1 Biologia transferível versus memorização</w:t>
      </w:r>
    </w:p>
    <w:p>
      <w:pPr>
        <w:jc w:val="both"/>
      </w:pPr>
      <w:r>
        <w:rPr>
          <w:rFonts w:ascii="Arial" w:hAnsi="Arial"/>
        </w:rPr>
        <w:t xml:space="preserve">O achado central deste trabalho é que </w:t>
      </w:r>
      <w:r>
        <w:rPr>
          <w:rFonts w:ascii="Arial" w:hAnsi="Arial"/>
          <w:b/>
        </w:rPr>
        <w:t>o sinal de domínio funcional generaliza para dados novos, ao passo que a posição bruta memoriza</w:t>
      </w:r>
      <w:r>
        <w:rPr>
          <w:rFonts w:ascii="Arial" w:hAnsi="Arial"/>
        </w:rPr>
        <w:t xml:space="preserve">. Em validação interna ingênua, a posição do resíduo parece um preditor forte; porém, quando avaliada em coortes externas independentes, colapsa (0,791) enquanto o modelo consciente de domínio se mantém superior (0,847). Essa inversão é diagnóstica: características que codificam </w:t>
      </w:r>
      <w:r>
        <w:rPr>
          <w:rFonts w:ascii="Arial" w:hAnsi="Arial"/>
          <w:b/>
        </w:rPr>
        <w:t>mecanismo</w:t>
      </w:r>
      <w:r>
        <w:rPr>
          <w:rFonts w:ascii="Arial" w:hAnsi="Arial"/>
        </w:rPr>
        <w:t xml:space="preserve"> — a que região funcional a mutação pertence, e se essa região é crítica para a estabilidade ou a atividade da proteína — carregam biologia que se aplica a variantes nunca vistas. Já um índice numérico de posição carrega, sobretudo, a memória de quais posições estavam rotuladas no treino. A taxa de patogenicidade de ~45% dentro de domínios críticos contra ~7–10% fora reforça que o modelo aprendeu um princípio biológico real, coerente com décadas de literatura sobre BRCA1 (RING/BRCT) e BRCA2 (domínio de ligação ao DNA) e com evidências recentes de que a restrição evolutiva em resolução de domínio melhora a priorização de variantes missense.</w:t>
      </w:r>
    </w:p>
    <w:p>
      <w:pPr>
        <w:jc w:val="both"/>
      </w:pPr>
      <w:r>
        <w:rPr>
          <w:rFonts w:ascii="Arial" w:hAnsi="Arial"/>
        </w:rPr>
        <w:t xml:space="preserve">Cabe uma distinção honesta entre dois modos de medir a generalização. A AUC no </w:t>
      </w:r>
      <w:r>
        <w:rPr>
          <w:rFonts w:ascii="Arial" w:hAnsi="Arial"/>
          <w:b/>
        </w:rPr>
        <w:t>conjunto externo agregado</w:t>
      </w:r>
      <w:r>
        <w:rPr>
          <w:rFonts w:ascii="Arial" w:hAnsi="Arial"/>
        </w:rPr>
        <w:t xml:space="preserve"> (0,847) beneficia-se, em parte, da separação </w:t>
      </w:r>
      <w:r>
        <w:rPr>
          <w:rFonts w:ascii="Arial" w:hAnsi="Arial"/>
          <w:i/>
        </w:rPr>
        <w:t>entre</w:t>
      </w:r>
      <w:r>
        <w:rPr>
          <w:rFonts w:ascii="Arial" w:hAnsi="Arial"/>
        </w:rPr>
        <w:t xml:space="preserve"> coortes com composições diferentes. A </w:t>
      </w:r>
      <w:r>
        <w:rPr>
          <w:rFonts w:ascii="Arial" w:hAnsi="Arial"/>
          <w:b/>
        </w:rPr>
        <w:t>meta-análise por coorte</w:t>
      </w:r>
      <w:r>
        <w:rPr>
          <w:rFonts w:ascii="Arial" w:hAnsi="Arial"/>
        </w:rPr>
        <w:t xml:space="preserve"> (§3.5) é mais conservadora e revela heterogeneidade substancial (I² = 88%): o modelo é excelente nas coortes de painel especialista (0,86–0,89) e fraco em uma coorte externa de BRCA1 (0,60). Interpretamos isso não como fragilidade a ser escondida, mas como informação: o desempenho depende da qualidade de rotulagem e da composição da coorte, e a força real do método está na priorização de variantes com rótulos de alta confiança. Reportar essa nuance é parte do compromisso de honestidade que define o trabalho.</w:t>
      </w:r>
    </w:p>
    <w:p>
      <w:pPr>
        <w:pStyle w:val="Heading2"/>
      </w:pPr>
      <w:r>
        <w:t>4.2 A honestidade metodológica como contribuição científica</w:t>
      </w:r>
    </w:p>
    <w:p>
      <w:pPr>
        <w:jc w:val="both"/>
      </w:pPr>
      <w:r>
        <w:rPr>
          <w:rFonts w:ascii="Arial" w:hAnsi="Arial"/>
        </w:rPr>
        <w:t xml:space="preserve">É tentador, em uma competição, apresentar apenas o melhor número. Optamos pelo contrário: relatamos que nossa hipótese fundadora — os números primos — </w:t>
      </w:r>
      <w:r>
        <w:rPr>
          <w:rFonts w:ascii="Arial" w:hAnsi="Arial"/>
          <w:b/>
        </w:rPr>
        <w:t>falhou</w:t>
      </w:r>
      <w:r>
        <w:rPr>
          <w:rFonts w:ascii="Arial" w:hAnsi="Arial"/>
        </w:rPr>
        <w:t xml:space="preserve"> em um teste justo, e que um preditor aparentemente forte era, na verdade, um artefato de vazamento. Defendemos que essa transparência é a contribuição mais durável do trabalho. Primeiro, porque é </w:t>
      </w:r>
      <w:r>
        <w:rPr>
          <w:rFonts w:ascii="Arial" w:hAnsi="Arial"/>
          <w:b/>
        </w:rPr>
        <w:t>reprodutível e auditável</w:t>
      </w:r>
      <w:r>
        <w:rPr>
          <w:rFonts w:ascii="Arial" w:hAnsi="Arial"/>
        </w:rPr>
        <w:t xml:space="preserve">: todo o protocolo de bloqueio por posição e validação externa pode ser reexecutado. Segundo, porque o </w:t>
      </w:r>
      <w:r>
        <w:rPr>
          <w:rFonts w:ascii="Arial" w:hAnsi="Arial"/>
          <w:b/>
        </w:rPr>
        <w:t>diagnóstico de vazamento posicional</w:t>
      </w:r>
      <w:r>
        <w:rPr>
          <w:rFonts w:ascii="Arial" w:hAnsi="Arial"/>
        </w:rPr>
        <w:t xml:space="preserve"> é um alerta metodológico útil para toda a área de predição de patogenicidade, onde benchmarks internos otimistas são comuns. Ciência não é a ausência de resultados negativos; é o tratamento rigoroso deles. Um resultado negativo bem estabelecido vale mais do que um resultado positivo frágil.</w:t>
      </w:r>
    </w:p>
    <w:p>
      <w:pPr>
        <w:pStyle w:val="Heading2"/>
      </w:pPr>
      <w:r>
        <w:t>4.3 Posicionamento frente a preditores estabelecidos</w:t>
      </w:r>
    </w:p>
    <w:p>
      <w:pPr>
        <w:jc w:val="both"/>
      </w:pPr>
      <w:r>
        <w:rPr>
          <w:rFonts w:ascii="Arial" w:hAnsi="Arial"/>
        </w:rPr>
        <w:t xml:space="preserve">Preditores como AlphaMissense, REVEL e CADD são referências poderosas, mas incorporá-los como </w:t>
      </w:r>
      <w:r>
        <w:rPr>
          <w:rFonts w:ascii="Arial" w:hAnsi="Arial"/>
          <w:i/>
        </w:rPr>
        <w:t>características</w:t>
      </w:r>
      <w:r>
        <w:rPr>
          <w:rFonts w:ascii="Arial" w:hAnsi="Arial"/>
        </w:rPr>
        <w:t xml:space="preserve"> de um novo modelo introduz </w:t>
      </w:r>
      <w:r>
        <w:rPr>
          <w:rFonts w:ascii="Arial" w:hAnsi="Arial"/>
          <w:b/>
        </w:rPr>
        <w:t>circularidade</w:t>
      </w:r>
      <w:r>
        <w:rPr>
          <w:rFonts w:ascii="Arial" w:hAnsi="Arial"/>
        </w:rPr>
        <w:t xml:space="preserve"> — eles próprios são treinados em rótulos correlacionados, e seu uso direto infla artificialmente o desempenho. Por isso, tratamo-los como </w:t>
      </w:r>
      <w:r>
        <w:rPr>
          <w:rFonts w:ascii="Arial" w:hAnsi="Arial"/>
          <w:b/>
        </w:rPr>
        <w:t>linha de referência de comparação</w:t>
      </w:r>
      <w:r>
        <w:rPr>
          <w:rFonts w:ascii="Arial" w:hAnsi="Arial"/>
        </w:rPr>
        <w:t xml:space="preserve">, não como insumo do modelo proposto. O valor diferencial do PrimeVarClass não é superar numericamente esses preditores fechados, mas oferecer um método </w:t>
      </w:r>
      <w:r>
        <w:rPr>
          <w:rFonts w:ascii="Arial" w:hAnsi="Arial"/>
          <w:b/>
        </w:rPr>
        <w:t>aberto, interpretável e auditável</w:t>
      </w:r>
      <w:r>
        <w:rPr>
          <w:rFonts w:ascii="Arial" w:hAnsi="Arial"/>
        </w:rPr>
        <w:t>, cujo sinal preditivo tem origem biológica explícita (região funcional) e cuja generalização é demonstrada externamente.</w:t>
      </w:r>
    </w:p>
    <w:p>
      <w:pPr>
        <w:pStyle w:val="Heading2"/>
      </w:pPr>
      <w:r>
        <w:t>4.4 Limitações</w:t>
      </w:r>
    </w:p>
    <w:p>
      <w:pPr>
        <w:jc w:val="both"/>
      </w:pPr>
      <w:r>
        <w:rPr>
          <w:rFonts w:ascii="Arial" w:hAnsi="Arial"/>
        </w:rPr>
        <w:t xml:space="preserve">Reconhecemos limites claros.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A validação concentrou-se em duas proteínas (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); a extensão a outros genes é trabalho futuro.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As fronteiras de domínio são aproximações baseadas em literatura e no UniProt; refinamentos estruturais podem melhorar a granularidade.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A generalização é </w:t>
      </w:r>
      <w:r>
        <w:rPr>
          <w:rFonts w:ascii="Arial" w:hAnsi="Arial"/>
          <w:b/>
        </w:rPr>
        <w:t>heterogênea</w:t>
      </w:r>
      <w:r>
        <w:rPr>
          <w:rFonts w:ascii="Arial" w:hAnsi="Arial"/>
        </w:rPr>
        <w:t xml:space="preserve"> (I² = 88%): forte nas coortes de painel especialista, mas fraca em uma coorte externa de BRCA1, o que exige cautela e mais coortes para caracterizar os limites de aplicabilidade. </w:t>
      </w:r>
      <w:r>
        <w:rPr>
          <w:rFonts w:ascii="Arial" w:hAnsi="Arial"/>
          <w:b/>
        </w:rPr>
        <w:t>(iv)</w:t>
      </w:r>
      <w:r>
        <w:rPr>
          <w:rFonts w:ascii="Arial" w:hAnsi="Arial"/>
        </w:rPr>
        <w:t xml:space="preserve"> Não há, ainda, </w:t>
      </w:r>
      <w:r>
        <w:rPr>
          <w:rFonts w:ascii="Arial" w:hAnsi="Arial"/>
          <w:b/>
        </w:rPr>
        <w:t>confirmação funcional experimental</w:t>
      </w:r>
      <w:r>
        <w:rPr>
          <w:rFonts w:ascii="Arial" w:hAnsi="Arial"/>
        </w:rPr>
        <w:t xml:space="preserve"> das priorizações — o sistema apoia pesquisa, não substitui ensaio funcional (por exemplo,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) nem julgamento clínico. </w:t>
      </w:r>
      <w:r>
        <w:rPr>
          <w:rFonts w:ascii="Arial" w:hAnsi="Arial"/>
          <w:b/>
        </w:rPr>
        <w:t>(v)</w:t>
      </w:r>
      <w:r>
        <w:rPr>
          <w:rFonts w:ascii="Arial" w:hAnsi="Arial"/>
        </w:rPr>
        <w:t xml:space="preserve"> A integração quantitativa do ESM-2 está em curso. Nenhuma dessas limitações compromete o achado central; todas apontam caminhos concretos de continuidade.</w:t>
      </w:r>
    </w:p>
    <w:p>
      <w:pPr>
        <w:pStyle w:val="Heading2"/>
      </w:pPr>
      <w:r>
        <w:t>4.5 Trabalhos futuros</w:t>
      </w:r>
    </w:p>
    <w:p>
      <w:pPr>
        <w:jc w:val="both"/>
      </w:pPr>
      <w:r>
        <w:rPr>
          <w:rFonts w:ascii="Arial" w:hAnsi="Arial"/>
        </w:rPr>
        <w:t xml:space="preserve">Quatro direções decorrem naturalmente deste trabalho. </w:t>
      </w:r>
      <w:r>
        <w:rPr>
          <w:rFonts w:ascii="Arial" w:hAnsi="Arial"/>
          <w:b/>
        </w:rPr>
        <w:t>Primeiro</w:t>
      </w:r>
      <w:r>
        <w:rPr>
          <w:rFonts w:ascii="Arial" w:hAnsi="Arial"/>
        </w:rPr>
        <w:t xml:space="preserve">, concluir a integração quantitativa do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(Lin et al., 2023; Meier et al., 2021) como camada ortogonal, avaliando o modelo </w:t>
      </w:r>
      <w:r>
        <w:rPr>
          <w:rFonts w:ascii="Arial" w:hAnsi="Arial"/>
          <w:i/>
        </w:rPr>
        <w:t>domínio + ESM-2</w:t>
      </w:r>
      <w:r>
        <w:rPr>
          <w:rFonts w:ascii="Arial" w:hAnsi="Arial"/>
        </w:rPr>
        <w:t xml:space="preserve"> nas mesmas coortes com o protocolo anti-vazamento. </w:t>
      </w:r>
      <w:r>
        <w:rPr>
          <w:rFonts w:ascii="Arial" w:hAnsi="Arial"/>
          <w:b/>
        </w:rPr>
        <w:t>Segundo</w:t>
      </w:r>
      <w:r>
        <w:rPr>
          <w:rFonts w:ascii="Arial" w:hAnsi="Arial"/>
        </w:rPr>
        <w:t xml:space="preserve">, estender a anotação consciente de domínio a </w:t>
      </w:r>
      <w:r>
        <w:rPr>
          <w:rFonts w:ascii="Arial" w:hAnsi="Arial"/>
          <w:b/>
        </w:rPr>
        <w:t>outros genes</w:t>
      </w:r>
      <w:r>
        <w:rPr>
          <w:rFonts w:ascii="Arial" w:hAnsi="Arial"/>
        </w:rPr>
        <w:t xml:space="preserve"> de predisposição (por exemplo, </w:t>
      </w:r>
      <w:r>
        <w:rPr>
          <w:rFonts w:ascii="Arial" w:hAnsi="Arial"/>
          <w:i/>
        </w:rPr>
        <w:t>TP53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PALB2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CHEK2</w:t>
      </w:r>
      <w:r>
        <w:rPr>
          <w:rFonts w:ascii="Arial" w:hAnsi="Arial"/>
        </w:rPr>
        <w:t xml:space="preserve">), verificando se o ganho de generalização se replica. </w:t>
      </w:r>
      <w:r>
        <w:rPr>
          <w:rFonts w:ascii="Arial" w:hAnsi="Arial"/>
          <w:b/>
        </w:rPr>
        <w:t>Terceiro</w:t>
      </w:r>
      <w:r>
        <w:rPr>
          <w:rFonts w:ascii="Arial" w:hAnsi="Arial"/>
        </w:rPr>
        <w:t xml:space="preserve">, aplicar </w:t>
      </w:r>
      <w:r>
        <w:rPr>
          <w:rFonts w:ascii="Arial" w:hAnsi="Arial"/>
          <w:b/>
        </w:rPr>
        <w:t>calibração formal ACMG/AMP</w:t>
      </w:r>
      <w:r>
        <w:rPr>
          <w:rFonts w:ascii="Arial" w:hAnsi="Arial"/>
        </w:rPr>
        <w:t xml:space="preserve"> (Pejaver et al., 2022) para converter as probabilidades em forças de evidência utilizáveis por comissões de classificação, e explicabilidade por valores de Shapley (SHAP) para transparência variante a variante. </w:t>
      </w:r>
      <w:r>
        <w:rPr>
          <w:rFonts w:ascii="Arial" w:hAnsi="Arial"/>
          <w:b/>
        </w:rPr>
        <w:t>Quarto</w:t>
      </w:r>
      <w:r>
        <w:rPr>
          <w:rFonts w:ascii="Arial" w:hAnsi="Arial"/>
        </w:rPr>
        <w:t xml:space="preserve">, buscar </w:t>
      </w:r>
      <w:r>
        <w:rPr>
          <w:rFonts w:ascii="Arial" w:hAnsi="Arial"/>
          <w:b/>
        </w:rPr>
        <w:t>validação funcional</w:t>
      </w:r>
      <w:r>
        <w:rPr>
          <w:rFonts w:ascii="Arial" w:hAnsi="Arial"/>
        </w:rPr>
        <w:t xml:space="preserve"> convergente com ensaios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— para as variantes priorizadas, fechando o ciclo entre predição e evidência experimental. A heterogeneidade observada entre coortes (§3.5) torna prioritário, ainda, ampliar o número de coortes externas para caracterizar os limites de aplicabilidade do método.</w:t>
      </w:r>
    </w:p>
    <w:p>
      <w:pPr>
        <w:pStyle w:val="Heading1"/>
      </w:pPr>
      <w:r>
        <w:t>5. Impacto social e aplicação</w:t>
      </w:r>
    </w:p>
    <w:p>
      <w:pPr>
        <w:pStyle w:val="Heading2"/>
      </w:pPr>
      <w:r>
        <w:t>5.1 O problema brasileiro concreto</w:t>
      </w:r>
    </w:p>
    <w:p>
      <w:pPr>
        <w:jc w:val="both"/>
      </w:pPr>
      <w:r>
        <w:rPr>
          <w:rFonts w:ascii="Arial" w:hAnsi="Arial"/>
        </w:rPr>
        <w:t>O acesso à interpretação de variantes genéticas é profundamente desigual no Brasil. A expertise concentra-se em poucos centros; laboratórios públicos, hospitais universitários e grupos de pesquisa em regiões menos assistidas frequentemente não dispõem de ferramentas abertas e adaptáveis. O resultado é que exames genéticos, quando realizados, muitas vezes retornam VUS sem suporte para conduzir a decisão — e o custo desse impasse recai desproporcionalmente sobre quem depende do sistema público.</w:t>
      </w:r>
    </w:p>
    <w:p>
      <w:pPr>
        <w:jc w:val="both"/>
      </w:pPr>
      <w:r>
        <w:rPr>
          <w:rFonts w:ascii="Arial" w:hAnsi="Arial"/>
        </w:rPr>
        <w:t>A literatura nacional documenta essa realidade. Recomendações específicas para avançar o diagnóstico e o manejo do câncer de mama e ovário hereditário no Brasil apontam lacunas de acesso e de infraestrutura (Achatz et al., 2020). Estudos de aconselhamento genético e de perfil de risco em serviços brasileiros (Palmero et al., 2007; Fernandes et al., 2019), avaliações do conhecimento médico sobre testagem para síndrome de câncer de mama e ovário hereditário (Lasta et al., 2023) e caracterizações moleculares em serviços públicos de medicina de precisão (Ribeiro et al., 2025), bem como achados de variantes específicas em populações regionais (Noronha et al., 2026), reforçam a necessidade de ferramentas abertas, auditáveis e de baixo custo computacional — exatamente o nicho que o PrimeVarClass busca ocupar como apoio à pesquisa e à formação.</w:t>
      </w:r>
    </w:p>
    <w:p>
      <w:pPr>
        <w:pStyle w:val="Heading2"/>
      </w:pPr>
      <w:r>
        <w:t>5.2 Como o PrimeVarClass contribui</w:t>
      </w:r>
    </w:p>
    <w:p>
      <w:pPr>
        <w:jc w:val="both"/>
      </w:pPr>
      <w:r>
        <w:rPr>
          <w:rFonts w:ascii="Arial" w:hAnsi="Arial"/>
        </w:rPr>
        <w:t xml:space="preserve">O sistema é posicionado explicitamente </w:t>
      </w:r>
      <w:r>
        <w:rPr>
          <w:rFonts w:ascii="Arial" w:hAnsi="Arial"/>
          <w:b/>
        </w:rPr>
        <w:t>não como diagnóstico clínico automático</w:t>
      </w:r>
      <w:r>
        <w:rPr>
          <w:rFonts w:ascii="Arial" w:hAnsi="Arial"/>
        </w:rPr>
        <w:t xml:space="preserve">, mas como </w:t>
      </w:r>
      <w:r>
        <w:rPr>
          <w:rFonts w:ascii="Arial" w:hAnsi="Arial"/>
          <w:b/>
        </w:rPr>
        <w:t>ferramenta de aceleração de pesquisa responsável</w:t>
      </w:r>
      <w:r>
        <w:rPr>
          <w:rFonts w:ascii="Arial" w:hAnsi="Arial"/>
        </w:rPr>
        <w:t>:</w:t>
      </w:r>
    </w:p>
    <w:p>
      <w:pPr>
        <w:pStyle w:val="ListBullet"/>
      </w:pPr>
      <w:r>
        <w:rPr>
          <w:rFonts w:ascii="Arial" w:hAnsi="Arial"/>
          <w:b/>
        </w:rPr>
        <w:t>Apoio a laboratórios públicos e universitários</w:t>
      </w:r>
      <w:r>
        <w:rPr>
          <w:rFonts w:ascii="Arial" w:hAnsi="Arial"/>
        </w:rPr>
        <w:t>: uma plataforma aberta e auditável para priorizar variantes candidatas e organizar evidência pública (ClinVar, gnomAD), reduzindo o tempo de análise inicial.</w:t>
      </w:r>
    </w:p>
    <w:p>
      <w:pPr>
        <w:pStyle w:val="ListBullet"/>
      </w:pPr>
      <w:r>
        <w:rPr>
          <w:rFonts w:ascii="Arial" w:hAnsi="Arial"/>
          <w:b/>
        </w:rPr>
        <w:t>Formação de pesquisadores</w:t>
      </w:r>
      <w:r>
        <w:rPr>
          <w:rFonts w:ascii="Arial" w:hAnsi="Arial"/>
        </w:rPr>
        <w:t>: por ser explicável e reprodutível, serve de instrumento didático sobre boas práticas — validação externa, prevenção de vazamento, honestidade sobre limites.</w:t>
      </w:r>
    </w:p>
    <w:p>
      <w:pPr>
        <w:pStyle w:val="ListBullet"/>
      </w:pPr>
      <w:r>
        <w:rPr>
          <w:rFonts w:ascii="Arial" w:hAnsi="Arial"/>
          <w:b/>
        </w:rPr>
        <w:t>Suporte à pesquisa translacional nacional</w:t>
      </w:r>
      <w:r>
        <w:rPr>
          <w:rFonts w:ascii="Arial" w:hAnsi="Arial"/>
        </w:rPr>
        <w:t>: geração de hipóteses funcionais rastreáveis para priorizar quais variantes merecem investigação experimental.</w:t>
      </w:r>
    </w:p>
    <w:p>
      <w:pPr>
        <w:pStyle w:val="ListBullet"/>
      </w:pPr>
      <w:r>
        <w:rPr>
          <w:rFonts w:ascii="Arial" w:hAnsi="Arial"/>
          <w:b/>
        </w:rPr>
        <w:t>Equidade</w:t>
      </w:r>
      <w:r>
        <w:rPr>
          <w:rFonts w:ascii="Arial" w:hAnsi="Arial"/>
        </w:rPr>
        <w:t>: por ser software aberto e de baixo custo computacional (não exige GPU para o núcleo), pode ser executado em infraestrutura modesta.</w:t>
      </w:r>
    </w:p>
    <w:p>
      <w:pPr>
        <w:pStyle w:val="Heading2"/>
      </w:pPr>
      <w:r>
        <w:t>5.3 O que o sistema deliberadamente **não** faz</w:t>
      </w:r>
    </w:p>
    <w:p>
      <w:pPr>
        <w:jc w:val="both"/>
      </w:pPr>
      <w:r>
        <w:rPr>
          <w:rFonts w:ascii="Arial" w:hAnsi="Arial"/>
        </w:rPr>
        <w:t>Não emite laudo clínico, não substitui aconselhamento genético humano e não afirma validade terapêutica. Essa contenção é parte do design responsável e alinha o projeto ao espírito de "IA para o bem comum".</w:t>
      </w:r>
    </w:p>
    <w:p>
      <w:pPr>
        <w:pStyle w:val="Heading2"/>
      </w:pPr>
      <w:r>
        <w:t>5.4 A plataforma como aplicação prática concreta</w:t>
      </w:r>
    </w:p>
    <w:p>
      <w:pPr>
        <w:jc w:val="both"/>
      </w:pPr>
      <w:r>
        <w:rPr>
          <w:rFonts w:ascii="Arial" w:hAnsi="Arial"/>
        </w:rPr>
        <w:t xml:space="preserve">O trabalho não se limita a um resultado estatístico: entrega um </w:t>
      </w:r>
      <w:r>
        <w:rPr>
          <w:rFonts w:ascii="Arial" w:hAnsi="Arial"/>
          <w:b/>
        </w:rPr>
        <w:t>sistema funcional e reprodutível</w:t>
      </w:r>
      <w:r>
        <w:rPr>
          <w:rFonts w:ascii="Arial" w:hAnsi="Arial"/>
        </w:rPr>
        <w:t xml:space="preserve">, com resultados finais. Os componentes são: </w:t>
      </w:r>
      <w:r>
        <w:rPr>
          <w:rFonts w:ascii="Arial" w:hAnsi="Arial"/>
          <w:b/>
        </w:rPr>
        <w:t>(a)</w:t>
      </w:r>
      <w:r>
        <w:rPr>
          <w:rFonts w:ascii="Arial" w:hAnsi="Arial"/>
        </w:rPr>
        <w:t xml:space="preserve"> um pacote de software aberto e auditável que implementa todo o pipeline — codificação de características, anotação consciente de domínio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treino e validação, e ingestão de escores ESM-2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) — com </w:t>
      </w:r>
      <w:r>
        <w:rPr>
          <w:rFonts w:ascii="Arial" w:hAnsi="Arial"/>
          <w:b/>
        </w:rPr>
        <w:t>testes automatizados</w:t>
      </w:r>
      <w:r>
        <w:rPr>
          <w:rFonts w:ascii="Arial" w:hAnsi="Arial"/>
        </w:rPr>
        <w:t xml:space="preserve"> garantindo reprodutibilidade; </w:t>
      </w:r>
      <w:r>
        <w:rPr>
          <w:rFonts w:ascii="Arial" w:hAnsi="Arial"/>
          <w:b/>
        </w:rPr>
        <w:t>(b)</w:t>
      </w:r>
      <w:r>
        <w:rPr>
          <w:rFonts w:ascii="Arial" w:hAnsi="Arial"/>
        </w:rPr>
        <w:t xml:space="preserve"> uma </w:t>
      </w:r>
      <w:r>
        <w:rPr>
          <w:rFonts w:ascii="Arial" w:hAnsi="Arial"/>
          <w:b/>
        </w:rPr>
        <w:t>interface programática (API)</w:t>
      </w:r>
      <w:r>
        <w:rPr>
          <w:rFonts w:ascii="Arial" w:hAnsi="Arial"/>
        </w:rPr>
        <w:t xml:space="preserve"> para pontuar variantes e organizar evidência pública; </w:t>
      </w:r>
      <w:r>
        <w:rPr>
          <w:rFonts w:ascii="Arial" w:hAnsi="Arial"/>
          <w:b/>
        </w:rPr>
        <w:t>(c)</w:t>
      </w:r>
      <w:r>
        <w:rPr>
          <w:rFonts w:ascii="Arial" w:hAnsi="Arial"/>
        </w:rPr>
        <w:t xml:space="preserve"> um </w:t>
      </w:r>
      <w:r>
        <w:rPr>
          <w:rFonts w:ascii="Arial" w:hAnsi="Arial"/>
          <w:b/>
        </w:rPr>
        <w:t>protótipo de sistema de apoio à decisão</w:t>
      </w:r>
      <w:r>
        <w:rPr>
          <w:rFonts w:ascii="Arial" w:hAnsi="Arial"/>
        </w:rPr>
        <w:t xml:space="preserve"> para priorização de variantes candidatas, voltado a laboratórios de pesquisa. Todos os números e figuras deste artigo são gerados por scripts reexecutáveis incluídos no sistema, o que torna a aplicação </w:t>
      </w:r>
      <w:r>
        <w:rPr>
          <w:rFonts w:ascii="Arial" w:hAnsi="Arial"/>
          <w:b/>
        </w:rPr>
        <w:t>verificável de ponta a ponta</w:t>
      </w:r>
      <w:r>
        <w:rPr>
          <w:rFonts w:ascii="Arial" w:hAnsi="Arial"/>
        </w:rPr>
        <w:t>. Assim, o PrimeVarClass responde diretamente ao critério de aplicação prática: é uma ferramenta concreta, de baixo custo computacional, pronta para apoiar pesquisa genética responsável no Brasil.</w:t>
      </w:r>
    </w:p>
    <w:p>
      <w:pPr>
        <w:pStyle w:val="Heading1"/>
      </w:pPr>
      <w:r>
        <w:t>6. Ética e uso de inteligência artificial</w:t>
      </w:r>
    </w:p>
    <w:p>
      <w:pPr>
        <w:jc w:val="both"/>
      </w:pPr>
      <w:r>
        <w:rPr>
          <w:rFonts w:ascii="Arial" w:hAnsi="Arial"/>
        </w:rPr>
        <w:t>Em conformidade com o item 2.2.2 (Nota 4) do Edital, declaramos de forma transparente o uso de ferramentas de Inteligência Artificial neste trabalho:</w:t>
      </w:r>
    </w:p>
    <w:p>
      <w:pPr>
        <w:pStyle w:val="ListBullet"/>
      </w:pPr>
      <w:r>
        <w:rPr>
          <w:rFonts w:ascii="Arial" w:hAnsi="Arial"/>
          <w:b/>
        </w:rPr>
        <w:t>Ferramenta utilizada:</w:t>
      </w:r>
      <w:r>
        <w:rPr>
          <w:rFonts w:ascii="Arial" w:hAnsi="Arial"/>
        </w:rPr>
        <w:t xml:space="preserve"> assistente de programação e redação baseado em modelo de linguagem de grande porte (Claude, da Anthropic), operado via interface de linha de comando para desenvolvimento de software.</w:t>
      </w:r>
    </w:p>
    <w:p>
      <w:pPr>
        <w:pStyle w:val="ListBullet"/>
      </w:pPr>
      <w:r>
        <w:rPr>
          <w:rFonts w:ascii="Arial" w:hAnsi="Arial"/>
          <w:b/>
        </w:rPr>
        <w:t>Finalidades:</w:t>
      </w:r>
      <w:r>
        <w:rPr>
          <w:rFonts w:ascii="Arial" w:hAnsi="Arial"/>
        </w:rPr>
        <w:t xml:space="preserve"> (a) apoio à escrita, depuração e refatoração do código-fonte; (b) execução e organização de análises estatísticas (validação, Monte Carlo, meta-análise) sobre dados reais; (c) apoio à revisão sistemática da literatura e à formatação de referências; (d) redação e edição assistidas do texto em português. </w:t>
      </w:r>
      <w:r>
        <w:rPr>
          <w:rFonts w:ascii="Arial" w:hAnsi="Arial"/>
          <w:b/>
        </w:rPr>
        <w:t>Toda a concepção científica, a verificação dos resultados e a responsabilidade final são do(a) autor(a) humano(a).</w:t>
      </w:r>
    </w:p>
    <w:p>
      <w:pPr>
        <w:jc w:val="both"/>
      </w:pPr>
      <w:r>
        <w:rPr>
          <w:rFonts w:ascii="Arial" w:hAnsi="Arial"/>
        </w:rPr>
        <w:t xml:space="preserve">Declaramos ainda que: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todos os dados são públicos e auditáveis, sem informação de pacientes identificáveis;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nenhum resultado, figura ou métrica deste trabalho foi fabricado ou simulado</w:t>
      </w:r>
      <w:r>
        <w:rPr>
          <w:rFonts w:ascii="Arial" w:hAnsi="Arial"/>
        </w:rPr>
        <w:t xml:space="preserve"> — todos derivam de execução real sobre dados reais, com código de validação reexecutável;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reconhecemos vieses potenciais (representatividade populacional dos bancos de dados) e a necessidade de validação experimental independente antes de qualquer uso clínico. A governança do projeto prioriza reprodutibilidade, prudência e não-maleficência, e nenhuma prática de uso antiético de IA (item 4.1 do Edital) foi empregada.</w:t>
      </w:r>
    </w:p>
    <w:p>
      <w:pPr>
        <w:pStyle w:val="Heading1"/>
      </w:pPr>
      <w:r>
        <w:t>7. Conclusão</w:t>
      </w:r>
    </w:p>
    <w:p>
      <w:pPr>
        <w:jc w:val="both"/>
      </w:pPr>
      <w:r>
        <w:rPr>
          <w:rFonts w:ascii="Arial" w:hAnsi="Arial"/>
        </w:rPr>
        <w:t xml:space="preserve">Uma hipótese ousada — codificar aminoácidos como números primos — foi testada com rigor e </w:t>
      </w:r>
      <w:r>
        <w:rPr>
          <w:rFonts w:ascii="Arial" w:hAnsi="Arial"/>
          <w:b/>
        </w:rPr>
        <w:t>refutada com transparência</w:t>
      </w:r>
      <w:r>
        <w:rPr>
          <w:rFonts w:ascii="Arial" w:hAnsi="Arial"/>
        </w:rPr>
        <w:t xml:space="preserve">. Esse resultado negativo, longe de ser um fracasso, conduziu a dois avanços concretos: o </w:t>
      </w:r>
      <w:r>
        <w:rPr>
          <w:rFonts w:ascii="Arial" w:hAnsi="Arial"/>
          <w:b/>
        </w:rPr>
        <w:t>diagnóstico da armadilha de vazamento posicional</w:t>
      </w:r>
      <w:r>
        <w:rPr>
          <w:rFonts w:ascii="Arial" w:hAnsi="Arial"/>
        </w:rPr>
        <w:t xml:space="preserve"> em benchmarks de patogenicidade e a construção de um </w:t>
      </w:r>
      <w:r>
        <w:rPr>
          <w:rFonts w:ascii="Arial" w:hAnsi="Arial"/>
          <w:b/>
        </w:rPr>
        <w:t>classificador consciente de domínio funcional</w:t>
      </w:r>
      <w:r>
        <w:rPr>
          <w:rFonts w:ascii="Arial" w:hAnsi="Arial"/>
        </w:rPr>
        <w:t xml:space="preserve"> que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(AUC 0,847; DeLong p = 1,8 × 10⁻¹³), superando modelos que apenas memorizam. O PrimeVarClass entrega esse método de forma aberta, explicável, auditável e eticamente contida, com aplicação direta ao contexto brasileiro de saúde de precisão e formação científica. Sua maior força não é um número, mas um </w:t>
      </w:r>
      <w:r>
        <w:rPr>
          <w:rFonts w:ascii="Arial" w:hAnsi="Arial"/>
          <w:b/>
        </w:rPr>
        <w:t>compromisso com a ciência honesta</w:t>
      </w:r>
      <w:r>
        <w:rPr>
          <w:rFonts w:ascii="Arial" w:hAnsi="Arial"/>
        </w:rPr>
        <w:t xml:space="preserve"> — o tipo de trabalho que a comunidade pode confiar, reproduzir e construir em cima.</w:t>
      </w:r>
    </w:p>
    <w:p>
      <w:pPr>
        <w:pStyle w:val="Heading1"/>
      </w:pPr>
      <w:r>
        <w:t>Reprodutibilidade e disponibilidade de dados</w:t>
      </w:r>
    </w:p>
    <w:p>
      <w:pPr>
        <w:jc w:val="both"/>
      </w:pPr>
      <w:r>
        <w:rPr>
          <w:rFonts w:ascii="Arial" w:hAnsi="Arial"/>
        </w:rPr>
        <w:t xml:space="preserve">Todos os resultados derivam de dados </w:t>
      </w:r>
      <w:r>
        <w:rPr>
          <w:rFonts w:ascii="Arial" w:hAnsi="Arial"/>
          <w:b/>
        </w:rPr>
        <w:t>públicos</w:t>
      </w:r>
      <w:r>
        <w:rPr>
          <w:rFonts w:ascii="Arial" w:hAnsi="Arial"/>
        </w:rPr>
        <w:t xml:space="preserve"> (ClinVar, painéis de especialistas ENIGMA/ClinGen, gnomAD) e de código </w:t>
      </w:r>
      <w:r>
        <w:rPr>
          <w:rFonts w:ascii="Arial" w:hAnsi="Arial"/>
          <w:b/>
        </w:rPr>
        <w:t>reexecutável</w:t>
      </w:r>
      <w:r>
        <w:rPr>
          <w:rFonts w:ascii="Arial" w:hAnsi="Arial"/>
        </w:rPr>
        <w:t>. O núcleo de anotação de domínio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a construção de características (</w:t>
      </w:r>
      <w:r>
        <w:rPr>
          <w:rFonts w:ascii="Consolas" w:hAnsi="Consolas"/>
        </w:rPr>
        <w:t>core.py</w:t>
      </w:r>
      <w:r>
        <w:rPr>
          <w:rFonts w:ascii="Arial" w:hAnsi="Arial"/>
        </w:rPr>
        <w:t>), a ingestão de escores ESM-2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>), a validação ponta-a-ponta (</w:t>
      </w:r>
      <w:r>
        <w:rPr>
          <w:rFonts w:ascii="Consolas" w:hAnsi="Consolas"/>
        </w:rPr>
        <w:t>validate_domain_integration.py</w:t>
      </w:r>
      <w:r>
        <w:rPr>
          <w:rFonts w:ascii="Arial" w:hAnsi="Arial"/>
        </w:rPr>
        <w:t>), a bateria de robustez Monte Carlo (</w:t>
      </w:r>
      <w:r>
        <w:rPr>
          <w:rFonts w:ascii="Consolas" w:hAnsi="Consolas"/>
        </w:rPr>
        <w:t>monte_carlo_robustness.py</w:t>
      </w:r>
      <w:r>
        <w:rPr>
          <w:rFonts w:ascii="Arial" w:hAnsi="Arial"/>
        </w:rPr>
        <w:t>), a meta-análise (</w:t>
      </w:r>
      <w:r>
        <w:rPr>
          <w:rFonts w:ascii="Consolas" w:hAnsi="Consolas"/>
        </w:rPr>
        <w:t>meta_analysis.py</w:t>
      </w:r>
      <w:r>
        <w:rPr>
          <w:rFonts w:ascii="Arial" w:hAnsi="Arial"/>
        </w:rPr>
        <w:t>) e a geração das figuras (</w:t>
      </w:r>
      <w:r>
        <w:rPr>
          <w:rFonts w:ascii="Consolas" w:hAnsi="Consolas"/>
        </w:rPr>
        <w:t>figures_domains.py</w:t>
      </w:r>
      <w:r>
        <w:rPr>
          <w:rFonts w:ascii="Arial" w:hAnsi="Arial"/>
        </w:rPr>
        <w:t>) estão versionados e cobertos por testes automatizados. Os artefatos numéricos (</w:t>
      </w:r>
      <w:r>
        <w:rPr>
          <w:rFonts w:ascii="Consolas" w:hAnsi="Consolas"/>
        </w:rPr>
        <w:t>results.json</w:t>
      </w:r>
      <w:r>
        <w:rPr>
          <w:rFonts w:ascii="Arial" w:hAnsi="Arial"/>
        </w:rPr>
        <w:t xml:space="preserve">, </w:t>
      </w:r>
      <w:r>
        <w:rPr>
          <w:rFonts w:ascii="Consolas" w:hAnsi="Consolas"/>
        </w:rPr>
        <w:t>meta_analysis.json</w:t>
      </w:r>
      <w:r>
        <w:rPr>
          <w:rFonts w:ascii="Arial" w:hAnsi="Arial"/>
        </w:rPr>
        <w:t xml:space="preserve">) e as figuras em alta resolução acompanham o material suplementar. Sementes aleatórias são fixadas para reprodutibilidade determinística. </w:t>
      </w:r>
      <w:r>
        <w:rPr>
          <w:rFonts w:ascii="Arial" w:hAnsi="Arial"/>
          <w:b/>
        </w:rPr>
        <w:t>Nenhum dado, figura ou métrica foi fabricado ou simulado.</w:t>
      </w:r>
    </w:p>
    <w:p>
      <w:pPr>
        <w:pStyle w:val="Heading1"/>
      </w:pPr>
      <w:r>
        <w:t>Lista de Figuras e Tabelas</w:t>
      </w:r>
    </w:p>
    <w:p>
      <w:pPr>
        <w:pStyle w:val="ListBullet"/>
      </w:pPr>
      <w:r>
        <w:rPr>
          <w:rFonts w:ascii="Arial" w:hAnsi="Arial"/>
          <w:b/>
        </w:rPr>
        <w:t>Figura 1.</w:t>
      </w:r>
      <w:r>
        <w:rPr>
          <w:rFonts w:ascii="Arial" w:hAnsi="Arial"/>
        </w:rPr>
        <w:t xml:space="preserve"> Estruturas 3D experimentais das proteínas-alvo (BRCA1 RING/BRCT; BRCA2 DBD–DSS1–ssDNA).</w:t>
      </w:r>
    </w:p>
    <w:p>
      <w:pPr>
        <w:pStyle w:val="ListBullet"/>
      </w:pPr>
      <w:r>
        <w:rPr>
          <w:rFonts w:ascii="Arial" w:hAnsi="Arial"/>
          <w:b/>
        </w:rPr>
        <w:t>Figura 2.</w:t>
      </w:r>
      <w:r>
        <w:rPr>
          <w:rFonts w:ascii="Arial" w:hAnsi="Arial"/>
        </w:rPr>
        <w:t xml:space="preserve"> Arquitetura de domínios funcionais de BRCA1/BRCA2 com variantes sobrepostas.</w:t>
      </w:r>
    </w:p>
    <w:p>
      <w:pPr>
        <w:pStyle w:val="ListBullet"/>
      </w:pPr>
      <w:r>
        <w:rPr>
          <w:rFonts w:ascii="Arial" w:hAnsi="Arial"/>
          <w:b/>
        </w:rPr>
        <w:t>Figura 3.</w:t>
      </w:r>
      <w:r>
        <w:rPr>
          <w:rFonts w:ascii="Arial" w:hAnsi="Arial"/>
        </w:rPr>
        <w:t xml:space="preserve"> Fração de variantes patogênicas por região funcional.</w:t>
      </w:r>
    </w:p>
    <w:p>
      <w:pPr>
        <w:pStyle w:val="ListBullet"/>
      </w:pPr>
      <w:r>
        <w:rPr>
          <w:rFonts w:ascii="Arial" w:hAnsi="Arial"/>
          <w:b/>
        </w:rPr>
        <w:t>Figura 4.</w:t>
      </w:r>
      <w:r>
        <w:rPr>
          <w:rFonts w:ascii="Arial" w:hAnsi="Arial"/>
        </w:rPr>
        <w:t xml:space="preserve"> Distribuição bootstrap (B = 2000) da AUC externa.</w:t>
      </w:r>
    </w:p>
    <w:p>
      <w:pPr>
        <w:pStyle w:val="ListBullet"/>
      </w:pPr>
      <w:r>
        <w:rPr>
          <w:rFonts w:ascii="Arial" w:hAnsi="Arial"/>
          <w:b/>
        </w:rPr>
        <w:t>Figura 5.</w:t>
      </w:r>
      <w:r>
        <w:rPr>
          <w:rFonts w:ascii="Arial" w:hAnsi="Arial"/>
        </w:rPr>
        <w:t xml:space="preserve"> Teste de permutação (N = 2000).</w:t>
      </w:r>
    </w:p>
    <w:p>
      <w:pPr>
        <w:pStyle w:val="ListBullet"/>
      </w:pPr>
      <w:r>
        <w:rPr>
          <w:rFonts w:ascii="Arial" w:hAnsi="Arial"/>
          <w:b/>
        </w:rPr>
        <w:t>Figura 6.</w:t>
      </w:r>
      <w:r>
        <w:rPr>
          <w:rFonts w:ascii="Arial" w:hAnsi="Arial"/>
        </w:rPr>
        <w:t xml:space="preserve"> Estabilidade da AUC em 12 sementes de validação cruzada.</w:t>
      </w:r>
    </w:p>
    <w:p>
      <w:pPr>
        <w:pStyle w:val="ListBullet"/>
      </w:pPr>
      <w:r>
        <w:rPr>
          <w:rFonts w:ascii="Arial" w:hAnsi="Arial"/>
          <w:b/>
        </w:rPr>
        <w:t>Figura 7.</w:t>
      </w:r>
      <w:r>
        <w:rPr>
          <w:rFonts w:ascii="Arial" w:hAnsi="Arial"/>
        </w:rPr>
        <w:t xml:space="preserve"> Curva de calibração e escore de Brier.</w:t>
      </w:r>
    </w:p>
    <w:p>
      <w:pPr>
        <w:pStyle w:val="ListBullet"/>
      </w:pPr>
      <w:r>
        <w:rPr>
          <w:rFonts w:ascii="Arial" w:hAnsi="Arial"/>
          <w:b/>
        </w:rPr>
        <w:t>Figura 8.</w:t>
      </w:r>
      <w:r>
        <w:rPr>
          <w:rFonts w:ascii="Arial" w:hAnsi="Arial"/>
        </w:rPr>
        <w:t xml:space="preserve"> Curvas ROC nas coortes externas.</w:t>
      </w:r>
    </w:p>
    <w:p>
      <w:pPr>
        <w:pStyle w:val="ListBullet"/>
      </w:pPr>
      <w:r>
        <w:rPr>
          <w:rFonts w:ascii="Arial" w:hAnsi="Arial"/>
          <w:b/>
        </w:rPr>
        <w:t>Figura 9.</w:t>
      </w:r>
      <w:r>
        <w:rPr>
          <w:rFonts w:ascii="Arial" w:hAnsi="Arial"/>
        </w:rPr>
        <w:t xml:space="preserve"> Forest plot da meta-análise de generalização externa.</w:t>
      </w:r>
    </w:p>
    <w:p>
      <w:pPr>
        <w:pStyle w:val="ListBullet"/>
      </w:pPr>
      <w:r>
        <w:rPr>
          <w:rFonts w:ascii="Arial" w:hAnsi="Arial"/>
          <w:b/>
        </w:rPr>
        <w:t>Tabela 1.</w:t>
      </w:r>
      <w:r>
        <w:rPr>
          <w:rFonts w:ascii="Arial" w:hAnsi="Arial"/>
        </w:rPr>
        <w:t xml:space="preserve"> Desempenho por conjunto de características (refutação dos primos).</w:t>
      </w:r>
    </w:p>
    <w:p>
      <w:pPr>
        <w:pStyle w:val="ListBullet"/>
      </w:pPr>
      <w:r>
        <w:rPr>
          <w:rFonts w:ascii="Arial" w:hAnsi="Arial"/>
          <w:b/>
        </w:rPr>
        <w:t>Tabela 2.</w:t>
      </w:r>
      <w:r>
        <w:rPr>
          <w:rFonts w:ascii="Arial" w:hAnsi="Arial"/>
        </w:rPr>
        <w:t xml:space="preserve"> Comparações pareadas (DeLong).</w:t>
      </w:r>
    </w:p>
    <w:p>
      <w:pPr>
        <w:pStyle w:val="ListBullet"/>
      </w:pPr>
      <w:r>
        <w:rPr>
          <w:rFonts w:ascii="Arial" w:hAnsi="Arial"/>
          <w:b/>
        </w:rPr>
        <w:t>Tabela 3.</w:t>
      </w:r>
      <w:r>
        <w:rPr>
          <w:rFonts w:ascii="Arial" w:hAnsi="Arial"/>
        </w:rPr>
        <w:t xml:space="preserve"> Modelo consciente de domínio: CV bloqueada por posição e generalização externa.</w:t>
      </w:r>
    </w:p>
    <w:p>
      <w:pPr>
        <w:pStyle w:val="ListBullet"/>
      </w:pPr>
      <w:r>
        <w:rPr>
          <w:rFonts w:ascii="Arial" w:hAnsi="Arial"/>
          <w:b/>
        </w:rPr>
        <w:t>Tabela 4.</w:t>
      </w:r>
      <w:r>
        <w:rPr>
          <w:rFonts w:ascii="Arial" w:hAnsi="Arial"/>
        </w:rPr>
        <w:t xml:space="preserve"> Meta-análise da AUC externa por coorte.</w:t>
      </w:r>
    </w:p>
    <w:p>
      <w:pPr>
        <w:pStyle w:val="Heading1"/>
      </w:pPr>
      <w:r>
        <w:t>Referências</w:t>
      </w:r>
    </w:p>
    <w:p>
      <w:pPr>
        <w:jc w:val="both"/>
      </w:pPr>
      <w:r>
        <w:rPr>
          <w:rFonts w:ascii="Arial" w:hAnsi="Arial"/>
          <w:i/>
        </w:rPr>
        <w:t xml:space="preserve">Fontes primárias recuperadas via PubMed/NLM. Abaixo, as referências fundacionais citadas no texto em formato ABNT; a lista completa e curada de </w:t>
      </w:r>
      <w:r>
        <w:rPr>
          <w:rFonts w:ascii="Arial" w:hAnsi="Arial"/>
          <w:i/>
        </w:rPr>
        <w:t>52 fontes primárias</w:t>
      </w:r>
      <w:r>
        <w:rPr>
          <w:rFonts w:ascii="Arial" w:hAnsi="Arial"/>
          <w:i/>
        </w:rPr>
        <w:t xml:space="preserve"> está em [`referencias_abnt.md`](referencias_abnt.md), com DOIs.</w:t>
      </w:r>
    </w:p>
    <w:p>
      <w:pPr>
        <w:jc w:val="both"/>
      </w:pPr>
      <w:r>
        <w:rPr>
          <w:rFonts w:ascii="Arial" w:hAnsi="Arial"/>
          <w:b/>
        </w:rPr>
        <w:t>Diretrizes e recursos de classificação</w:t>
      </w:r>
    </w:p>
    <w:p>
      <w:pPr>
        <w:jc w:val="both"/>
      </w:pPr>
      <w:r>
        <w:rPr>
          <w:rFonts w:ascii="Arial" w:hAnsi="Arial"/>
        </w:rPr>
        <w:t xml:space="preserve">1. RICHARDS, S. et al. Standards and guidelines for the interpretation of sequence variants: a joint consensus recommendation of the ACMG and AMP.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17, n. 5, p. 405-24, 2015. DOI: 10.1038/gim.2015.30.</w:t>
      </w:r>
    </w:p>
    <w:p>
      <w:pPr>
        <w:jc w:val="both"/>
      </w:pPr>
      <w:r>
        <w:rPr>
          <w:rFonts w:ascii="Arial" w:hAnsi="Arial"/>
        </w:rPr>
        <w:t xml:space="preserve">2. PEJAVER, V. et al. Calibration of computational tools for missense variant pathogenicity classification and ClinGen recommendations for PP3/BP4 criteria.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109, n. 12, p. 2163-2177, 2022. DOI: 10.1016/j.ajhg.2022.10.013.</w:t>
      </w:r>
    </w:p>
    <w:p>
      <w:pPr>
        <w:jc w:val="both"/>
      </w:pPr>
      <w:r>
        <w:rPr>
          <w:rFonts w:ascii="Arial" w:hAnsi="Arial"/>
        </w:rPr>
        <w:t xml:space="preserve">3. PARSONS, M. T. et al. Large scale multifactorial likelihood quantitative analysis of BRCA1 and BRCA2 variants: an ENIGMA resource. </w:t>
      </w:r>
      <w:r>
        <w:rPr>
          <w:rFonts w:ascii="Arial" w:hAnsi="Arial"/>
          <w:b/>
        </w:rPr>
        <w:t>Hum Mutat</w:t>
      </w:r>
      <w:r>
        <w:rPr>
          <w:rFonts w:ascii="Arial" w:hAnsi="Arial"/>
        </w:rPr>
        <w:t>, v. 40, n. 9, p. 1557-1578, 2019. DOI: 10.1002/humu.23818.</w:t>
      </w:r>
    </w:p>
    <w:p>
      <w:pPr>
        <w:jc w:val="both"/>
      </w:pPr>
      <w:r>
        <w:rPr>
          <w:rFonts w:ascii="Arial" w:hAnsi="Arial"/>
        </w:rPr>
        <w:t xml:space="preserve">4. DINES, J. N. et al. Systematic misclassification of missense variants in BRCA1 and BRCA2 "coldspots".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22, n. 5, p. 825-830, 2020. DOI: 10.1038/s41436-019-0740-6.</w:t>
      </w:r>
    </w:p>
    <w:p>
      <w:pPr>
        <w:jc w:val="both"/>
      </w:pPr>
      <w:r>
        <w:rPr>
          <w:rFonts w:ascii="Arial" w:hAnsi="Arial"/>
          <w:b/>
        </w:rPr>
        <w:t>Preditores in silico e bancos de dados</w:t>
      </w:r>
    </w:p>
    <w:p>
      <w:pPr>
        <w:jc w:val="both"/>
      </w:pPr>
      <w:r>
        <w:rPr>
          <w:rFonts w:ascii="Arial" w:hAnsi="Arial"/>
        </w:rPr>
        <w:t xml:space="preserve">5. IOANNIDIS, N. M. et al. REVEL: an ensemble method for predicting the pathogenicity of rare missense variants.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99, n. 4, p. 877-885, 2016. DOI: 10.1016/j.ajhg.2016.08.016.</w:t>
      </w:r>
    </w:p>
    <w:p>
      <w:pPr>
        <w:jc w:val="both"/>
      </w:pPr>
      <w:r>
        <w:rPr>
          <w:rFonts w:ascii="Arial" w:hAnsi="Arial"/>
        </w:rPr>
        <w:t xml:space="preserve">6. RENTZSCH, P. et al. CADD: predicting the deleteriousness of variants throughout the human genome.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47, n. D1, p. D886-D894, 2019. DOI: 10.1093/nar/gky1016.</w:t>
      </w:r>
    </w:p>
    <w:p>
      <w:pPr>
        <w:jc w:val="both"/>
      </w:pPr>
      <w:r>
        <w:rPr>
          <w:rFonts w:ascii="Arial" w:hAnsi="Arial"/>
        </w:rPr>
        <w:t xml:space="preserve">7. CHENG, J. et al. Accurate proteome-wide missense variant effect prediction with AlphaMissense.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381, n. 6664, eadg7492, 2023. DOI: 10.1126/science.adg7492.</w:t>
      </w:r>
    </w:p>
    <w:p>
      <w:pPr>
        <w:jc w:val="both"/>
      </w:pPr>
      <w:r>
        <w:rPr>
          <w:rFonts w:ascii="Arial" w:hAnsi="Arial"/>
        </w:rPr>
        <w:t xml:space="preserve">8. KARCZEWSKI, K. J. et al. The mutational constraint spectrum quantified from variation in 141,456 humans (gnomAD).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581, n. 7809, p. 434-443, 2020. DOI: 10.1038/s41586-020-2308-7.</w:t>
      </w:r>
    </w:p>
    <w:p>
      <w:pPr>
        <w:jc w:val="both"/>
      </w:pPr>
      <w:r>
        <w:rPr>
          <w:rFonts w:ascii="Arial" w:hAnsi="Arial"/>
        </w:rPr>
        <w:t xml:space="preserve">9. HART, S. N. et al. Prediction of the functional impact of missense variants in BRCA1 and BRCA2 with BRCA-ML. </w:t>
      </w:r>
      <w:r>
        <w:rPr>
          <w:rFonts w:ascii="Arial" w:hAnsi="Arial"/>
          <w:b/>
        </w:rPr>
        <w:t>NPJ Breast Cancer</w:t>
      </w:r>
      <w:r>
        <w:rPr>
          <w:rFonts w:ascii="Arial" w:hAnsi="Arial"/>
        </w:rPr>
        <w:t>, v. 6, 13, 2020. DOI: 10.1038/s41523-020-0159-x.</w:t>
      </w:r>
    </w:p>
    <w:p>
      <w:pPr>
        <w:jc w:val="both"/>
      </w:pPr>
      <w:r>
        <w:rPr>
          <w:rFonts w:ascii="Arial" w:hAnsi="Arial"/>
          <w:b/>
        </w:rPr>
        <w:t>Domínios funcionais, restrição e ensaios</w:t>
      </w:r>
    </w:p>
    <w:p>
      <w:pPr>
        <w:jc w:val="both"/>
      </w:pPr>
      <w:r>
        <w:rPr>
          <w:rFonts w:ascii="Arial" w:hAnsi="Arial"/>
        </w:rPr>
        <w:t xml:space="preserve">10. ZHANG, X. et al. Genetic constraint at single amino acid resolution in protein domains improves missense variant prioritisation and gene discovery. </w:t>
      </w:r>
      <w:r>
        <w:rPr>
          <w:rFonts w:ascii="Arial" w:hAnsi="Arial"/>
          <w:b/>
        </w:rPr>
        <w:t>Genome Med</w:t>
      </w:r>
      <w:r>
        <w:rPr>
          <w:rFonts w:ascii="Arial" w:hAnsi="Arial"/>
        </w:rPr>
        <w:t>, v. 16, n. 1, 88, 2024. DOI: 10.1186/s13073-024-01358-9.</w:t>
      </w:r>
    </w:p>
    <w:p>
      <w:pPr>
        <w:jc w:val="both"/>
      </w:pPr>
      <w:r>
        <w:rPr>
          <w:rFonts w:ascii="Arial" w:hAnsi="Arial"/>
        </w:rPr>
        <w:t xml:space="preserve">11. TORRETTO, G. C. et al. Domain-specific computational, functional and structural methods enable interpretation of BRCT variants of uncertain significance. </w:t>
      </w:r>
      <w:r>
        <w:rPr>
          <w:rFonts w:ascii="Arial" w:hAnsi="Arial"/>
          <w:b/>
        </w:rPr>
        <w:t>Curr Oncol</w:t>
      </w:r>
      <w:r>
        <w:rPr>
          <w:rFonts w:ascii="Arial" w:hAnsi="Arial"/>
        </w:rPr>
        <w:t>, v. 33, n. 6, 2026.</w:t>
      </w:r>
    </w:p>
    <w:p>
      <w:pPr>
        <w:jc w:val="both"/>
      </w:pPr>
      <w:r>
        <w:rPr>
          <w:rFonts w:ascii="Arial" w:hAnsi="Arial"/>
        </w:rPr>
        <w:t xml:space="preserve">12. TOLAND, A. E.; ANDREASSEN, P. R. DNA repair-related functional assays for the classification of BRCA1 and BRCA2 variants: a critical review. </w:t>
      </w:r>
      <w:r>
        <w:rPr>
          <w:rFonts w:ascii="Arial" w:hAnsi="Arial"/>
          <w:b/>
        </w:rPr>
        <w:t>J Med Genet</w:t>
      </w:r>
      <w:r>
        <w:rPr>
          <w:rFonts w:ascii="Arial" w:hAnsi="Arial"/>
        </w:rPr>
        <w:t>, v. 54, n. 11, p. 721-731, 2017. DOI: 10.1136/jmedgenet-2017-104707.</w:t>
      </w:r>
    </w:p>
    <w:p>
      <w:pPr>
        <w:jc w:val="both"/>
      </w:pPr>
      <w:r>
        <w:rPr>
          <w:rFonts w:ascii="Arial" w:hAnsi="Arial"/>
        </w:rPr>
        <w:t xml:space="preserve">13. FINDLAY, G. M. et al. Saturation editing of genomic regions by multiplex homology-directed repair.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513, n. 7516, p. 120-3, 2014. DOI: 10.1038/nature13695.</w:t>
      </w:r>
    </w:p>
    <w:p>
      <w:pPr>
        <w:jc w:val="both"/>
      </w:pPr>
      <w:r>
        <w:rPr>
          <w:rFonts w:ascii="Arial" w:hAnsi="Arial"/>
          <w:b/>
        </w:rPr>
        <w:t>Aprendizado de máquina, generalização e contexto nacional</w:t>
      </w:r>
    </w:p>
    <w:p>
      <w:pPr>
        <w:jc w:val="both"/>
      </w:pPr>
      <w:r>
        <w:rPr>
          <w:rFonts w:ascii="Arial" w:hAnsi="Arial"/>
        </w:rPr>
        <w:t xml:space="preserve">14. KERNBACH, J. M.; STAARTJES, V. E. Foundations of machine learning-based clinical prediction modeling: Part II — generalization and overfitting. </w:t>
      </w:r>
      <w:r>
        <w:rPr>
          <w:rFonts w:ascii="Arial" w:hAnsi="Arial"/>
          <w:b/>
        </w:rPr>
        <w:t>Acta Neurochir Suppl</w:t>
      </w:r>
      <w:r>
        <w:rPr>
          <w:rFonts w:ascii="Arial" w:hAnsi="Arial"/>
        </w:rPr>
        <w:t>, v. 134, p. 15-21, 2022. DOI: 10.1007/978-3-030-85292-4_3.</w:t>
      </w:r>
    </w:p>
    <w:p>
      <w:pPr>
        <w:jc w:val="both"/>
      </w:pPr>
      <w:r>
        <w:rPr>
          <w:rFonts w:ascii="Arial" w:hAnsi="Arial"/>
        </w:rPr>
        <w:t xml:space="preserve">15. ACHATZ, M. I. et al. Recommendations for advancing the diagnosis and management of hereditary breast and ovarian cancer in Brazil. </w:t>
      </w:r>
      <w:r>
        <w:rPr>
          <w:rFonts w:ascii="Arial" w:hAnsi="Arial"/>
          <w:b/>
        </w:rPr>
        <w:t>JCO Glob Oncol</w:t>
      </w:r>
      <w:r>
        <w:rPr>
          <w:rFonts w:ascii="Arial" w:hAnsi="Arial"/>
        </w:rPr>
        <w:t>, v. 6, p. 439-452, 2020. DOI: 10.1200/JGO.19.00170.</w:t>
      </w:r>
    </w:p>
    <w:p>
      <w:pPr>
        <w:jc w:val="both"/>
      </w:pPr>
      <w:r>
        <w:rPr>
          <w:rFonts w:ascii="Arial" w:hAnsi="Arial"/>
          <w:b/>
        </w:rPr>
        <w:t>Base metodológica e recursos técnicos</w:t>
      </w:r>
    </w:p>
    <w:p>
      <w:pPr>
        <w:jc w:val="both"/>
      </w:pPr>
      <w:r>
        <w:rPr>
          <w:rFonts w:ascii="Arial" w:hAnsi="Arial"/>
        </w:rPr>
        <w:t xml:space="preserve">16. LIN, Z. et al. Evolutionary-scale prediction of atomic-level protein structure with a language model (ESM-2).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379, n. 6637, p. 1123-1130, 2023. DOI: 10.1126/science.ade2574.</w:t>
      </w:r>
    </w:p>
    <w:p>
      <w:pPr>
        <w:jc w:val="both"/>
      </w:pPr>
      <w:r>
        <w:rPr>
          <w:rFonts w:ascii="Arial" w:hAnsi="Arial"/>
        </w:rPr>
        <w:t xml:space="preserve">17. MEIER, J. et al. Language models enable zero-shot prediction of the effects of mutations on protein function. </w:t>
      </w:r>
      <w:r>
        <w:rPr>
          <w:rFonts w:ascii="Arial" w:hAnsi="Arial"/>
          <w:b/>
        </w:rPr>
        <w:t>NeurIPS</w:t>
      </w:r>
      <w:r>
        <w:rPr>
          <w:rFonts w:ascii="Arial" w:hAnsi="Arial"/>
        </w:rPr>
        <w:t>, 2021.</w:t>
      </w:r>
    </w:p>
    <w:p>
      <w:pPr>
        <w:jc w:val="both"/>
      </w:pPr>
      <w:r>
        <w:rPr>
          <w:rFonts w:ascii="Arial" w:hAnsi="Arial"/>
        </w:rPr>
        <w:t xml:space="preserve">18. DELONG, E. R.; DELONG, D. M.; CLARKE-PEARSON, D. L. Comparing the areas under two or more correlated ROC curves: a nonparametric approach. </w:t>
      </w:r>
      <w:r>
        <w:rPr>
          <w:rFonts w:ascii="Arial" w:hAnsi="Arial"/>
          <w:b/>
        </w:rPr>
        <w:t>Biometrics</w:t>
      </w:r>
      <w:r>
        <w:rPr>
          <w:rFonts w:ascii="Arial" w:hAnsi="Arial"/>
        </w:rPr>
        <w:t>, v. 44, n. 3, p. 837-845, 1988.</w:t>
      </w:r>
    </w:p>
    <w:p>
      <w:pPr>
        <w:jc w:val="both"/>
      </w:pPr>
      <w:r>
        <w:rPr>
          <w:rFonts w:ascii="Arial" w:hAnsi="Arial"/>
        </w:rPr>
        <w:t xml:space="preserve">19. YANG, H. et al. BRCA2 function in DNA binding and recombination from a BRCA2–DSS1–ssDNA structure.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297, n. 5588, p. 1837-1848, 2002. DOI: 10.1126/science.297.5588.1837.</w:t>
      </w:r>
    </w:p>
    <w:p>
      <w:pPr>
        <w:jc w:val="both"/>
      </w:pPr>
      <w:r>
        <w:rPr>
          <w:rFonts w:ascii="Arial" w:hAnsi="Arial"/>
        </w:rPr>
        <w:t xml:space="preserve">20. THE UNIPROT CONSORTIUM. UniProt: the Universal Protein Knowledgebase in 2023.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51, n. D1, p. D523-D531, 2023. (BRCA1 P38398; BRCA2 P51587).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