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Wesley Felipe Capucho,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Escola de Engenharia de Lorena, Universidade de São Paulo (EEL-USP),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partiu de uma hipótese pouco convencional: codificar aminoácidos pela estrutura dos números primos revelaria padrões de patogenicidade em variantes missense? O projeto foi nomeado PrimeVarClass a partir dessa aposta, e a hipótese foi testada com rigor: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(de 0,791 para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superando o modelo com posição bruta (0,791; p = 1,8 × 10⁻¹³). Combinado a um modelo de linguagem de proteínas (ESM-2), o modelo-carro-chefe (a versão final e completa do sistema, domínio funcional mais linguagem proteica) atingiu AUC externa de 0,909, estatisticamente equivalente aos melhores preditores publicados: AlphaMissense (0,926; p = 0,24), REVEL (0,930; p = 0,14) e CADD (0,891; p = 0,37),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264 VUS e 192 conflitantes), o modelo forneceu chamada de evidência calibrada para 53,8% dos VUS e 64,6% das conflitantes (concordância de 100% no subconjunto verificável);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(só o CADD ficou à frente, sem significância na amostra pequena); o método também generalizou, com dados reais do ClinVar, para o TP53, von Hippel-Lindau, Lynch e MEN2 (AUC 0,75–0,97). O sistema é entregue como plataforma aberta, auditável e reprodutível. A contribuição central não é um número inflado, mas um método rigoroso, generalizável e continuamente aprimorável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064582"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064582"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Ainda assim, muitas variantes permanecem classificadas como de significado incerto (VUS),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inclusive com escores informados por estrutura em BRCA1 (RAMADANE-MORCHADI et al., 2025), o que corrobora a abordagem consciente de domínio aqui desenvolvida. Existe, porém, uma assimetria raramente discutida: REVEL e CADD são treinados, e o AlphaMissense é calibrado,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4. Comparar esse modelo, de forma rigorosa,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identidade com posição (4), identidade sem posição (3), bioquímico com posição (28), híbrido bioquímico + primos (76) e apenas primos (50),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o que evita seleção circular de regiões. Definiram-se functional_domain e in_critical_domain: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(0,905 vs. 0,909), resultado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Comparação com o estado da arte,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 xml:space="preserve">A hipótese foi testada sob o protocolo anti-vazamento (Tabela 1). Os primos tiveram desempenho inferior à identidade trivial e pioraram um modelo bioquímico ao serem adicionados (Tabela 2).</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ᵃ Incluem gene e posição bruta;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4B">
      <w:pPr>
        <w:spacing w:before="200" w:lineRule="auto"/>
        <w:ind w:firstLine="0"/>
        <w:rPr/>
      </w:pPr>
      <w:r>
        <w:rPr>
          <w:rFonts w:ascii="Arial" w:cs="Arial" w:eastAsia="Arial" w:hAnsi="Arial"/>
          <w:b w:val="1"/>
          <w:bCs w:val="1"/>
          <w:sz w:val="22"/>
          <w:szCs w:val="22"/>
          <w:rtl w:val="0"/>
        </w:rPr>
        <w:t xml:space="preserve">Tabela 2. Comparações pareadas por DeLong.</w:t>
      </w:r>
      <w:r>
        <w:rPr>
          <w:rtl w:val="0"/>
        </w:rPr>
      </w:r>
    </w:p>
    <w:tbl>
      <w:tblPr>
        <w:tblStyle w:val="Table2"/>
        <w:tblW w:w="9072.0" w:type="dxa"/>
        <w:jc w:val="center"/>
        <w:tblLayout w:type="fixed"/>
        <w:tblLook w:val="04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4C">
            <w:pPr>
              <w:ind w:firstLine="0"/>
              <w:jc w:val="center"/>
              <w:rPr/>
            </w:pPr>
            <w:r>
              <w:rPr>
                <w:rFonts w:ascii="Arial" w:cs="Arial" w:eastAsia="Arial" w:hAnsi="Arial"/>
                <w:b w:val="1"/>
                <w:bCs w:val="1"/>
                <w:sz w:val="21"/>
                <w:szCs w:val="21"/>
                <w:rtl w:val="0"/>
              </w:rPr>
              <w:t xml:space="preserve">Comparação</w:t>
            </w:r>
            <w:r>
              <w:rPr>
                <w:rtl w:val="0"/>
              </w:rPr>
            </w:r>
          </w:p>
        </w:tc>
        <w:tc>
          <w:tcPr>
            <w:tcBorders>
              <w:top w:color="000000" w:space="0" w:sz="10" w:val="single"/>
              <w:bottom w:color="000000" w:space="0" w:sz="10" w:val="single"/>
            </w:tcBorders>
          </w:tcPr>
          <w:p w:rsidR="00000000" w:rsidDel="00000000" w:rsidP="00000000" w:rsidRDefault="00000000" w:rsidRPr="00000000" w14:paraId="0000004D">
            <w:pPr>
              <w:ind w:firstLine="0"/>
              <w:jc w:val="center"/>
              <w:rPr/>
            </w:pPr>
            <w:r>
              <w:rPr>
                <w:rFonts w:ascii="Arial" w:cs="Arial" w:eastAsia="Arial" w:hAnsi="Arial"/>
                <w:b w:val="1"/>
                <w:bCs w:val="1"/>
                <w:sz w:val="21"/>
                <w:szCs w:val="21"/>
                <w:rtl w:val="0"/>
              </w:rPr>
              <w:t xml:space="preserve">Protocolo</w:t>
            </w:r>
            <w:r>
              <w:rPr>
                <w:rtl w:val="0"/>
              </w:rPr>
            </w:r>
          </w:p>
        </w:tc>
        <w:tc>
          <w:tcPr>
            <w:tcBorders>
              <w:top w:color="000000" w:space="0" w:sz="10" w:val="single"/>
              <w:bottom w:color="000000" w:space="0" w:sz="10" w:val="single"/>
            </w:tcBorders>
          </w:tcPr>
          <w:p w:rsidR="00000000" w:rsidDel="00000000" w:rsidP="00000000" w:rsidRDefault="00000000" w:rsidRPr="00000000" w14:paraId="0000004E">
            <w:pPr>
              <w:ind w:firstLine="0"/>
              <w:jc w:val="center"/>
              <w:rPr/>
            </w:pPr>
            <w:r>
              <w:rPr>
                <w:rFonts w:ascii="Arial" w:cs="Arial" w:eastAsia="Arial" w:hAnsi="Arial"/>
                <w:b w:val="1"/>
                <w:bCs w:val="1"/>
                <w:sz w:val="21"/>
                <w:szCs w:val="21"/>
                <w:rtl w:val="0"/>
              </w:rPr>
              <w:t xml:space="preserve">AUC A</w:t>
            </w:r>
            <w:r>
              <w:rPr>
                <w:rtl w:val="0"/>
              </w:rPr>
            </w:r>
          </w:p>
        </w:tc>
        <w:tc>
          <w:tcPr>
            <w:tcBorders>
              <w:top w:color="000000" w:space="0" w:sz="10" w:val="single"/>
              <w:bottom w:color="000000" w:space="0" w:sz="10" w:val="single"/>
            </w:tcBorders>
          </w:tcPr>
          <w:p w:rsidR="00000000" w:rsidDel="00000000" w:rsidP="00000000" w:rsidRDefault="00000000" w:rsidRPr="00000000" w14:paraId="0000004F">
            <w:pPr>
              <w:ind w:firstLine="0"/>
              <w:jc w:val="center"/>
              <w:rPr/>
            </w:pPr>
            <w:r>
              <w:rPr>
                <w:rFonts w:ascii="Arial" w:cs="Arial" w:eastAsia="Arial" w:hAnsi="Arial"/>
                <w:b w:val="1"/>
                <w:bCs w:val="1"/>
                <w:sz w:val="21"/>
                <w:szCs w:val="21"/>
                <w:rtl w:val="0"/>
              </w:rPr>
              <w:t xml:space="preserve">AUC B</w:t>
            </w:r>
            <w:r>
              <w:rPr>
                <w:rtl w:val="0"/>
              </w:rPr>
            </w:r>
          </w:p>
        </w:tc>
        <w:tc>
          <w:tcPr>
            <w:tcBorders>
              <w:top w:color="000000" w:space="0" w:sz="10" w:val="single"/>
              <w:bottom w:color="000000" w:space="0" w:sz="10" w:val="single"/>
            </w:tcBorders>
          </w:tcPr>
          <w:p w:rsidR="00000000" w:rsidDel="00000000" w:rsidP="00000000" w:rsidRDefault="00000000" w:rsidRPr="00000000" w14:paraId="00000050">
            <w:pPr>
              <w:ind w:firstLine="0"/>
              <w:jc w:val="center"/>
              <w:rPr/>
            </w:pPr>
            <w:r>
              <w:rPr>
                <w:rFonts w:ascii="Arial" w:cs="Arial" w:eastAsia="Arial" w:hAnsi="Arial"/>
                <w:b w:val="1"/>
                <w:bCs w:val="1"/>
                <w:sz w:val="21"/>
                <w:szCs w:val="21"/>
                <w:rtl w:val="0"/>
              </w:rPr>
              <w:t xml:space="preserve">Δ</w:t>
            </w:r>
            <w:r>
              <w:rPr>
                <w:rtl w:val="0"/>
              </w:rPr>
            </w:r>
          </w:p>
        </w:tc>
        <w:tc>
          <w:tcPr>
            <w:tcBorders>
              <w:top w:color="000000" w:space="0" w:sz="10" w:val="single"/>
              <w:bottom w:color="000000" w:space="0" w:sz="10" w:val="single"/>
            </w:tcBorders>
          </w:tcPr>
          <w:p w:rsidR="00000000" w:rsidDel="00000000" w:rsidP="00000000" w:rsidRDefault="00000000" w:rsidRPr="00000000" w14:paraId="00000051">
            <w:pPr>
              <w:ind w:firstLine="0"/>
              <w:jc w:val="center"/>
              <w:rPr/>
            </w:pPr>
            <w:r>
              <w:rPr>
                <w:rFonts w:ascii="Arial" w:cs="Arial" w:eastAsia="Arial" w:hAnsi="Arial"/>
                <w:b w:val="1"/>
                <w:bCs w:val="1"/>
                <w:sz w:val="21"/>
                <w:szCs w:val="21"/>
                <w:rtl w:val="0"/>
              </w:rPr>
              <w:t xml:space="preserve">p</w:t>
            </w:r>
            <w:r>
              <w:rPr>
                <w:rtl w:val="0"/>
              </w:rPr>
            </w:r>
          </w:p>
        </w:tc>
      </w:tr>
      <w:tr>
        <w:trPr>
          <w:cantSplit w:val="1"/>
          <w:tblHeader w:val="0"/>
        </w:trPr>
        <w:tc>
          <w:tcPr/>
          <w:p w:rsidR="00000000" w:rsidDel="00000000" w:rsidP="00000000" w:rsidRDefault="00000000" w:rsidRPr="00000000" w14:paraId="00000052">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3">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54">
            <w:pPr>
              <w:ind w:firstLine="0"/>
              <w:jc w:val="center"/>
              <w:rPr/>
            </w:pPr>
            <w:r>
              <w:rPr>
                <w:rFonts w:ascii="Arial" w:cs="Arial" w:eastAsia="Arial" w:hAnsi="Arial"/>
                <w:sz w:val="21"/>
                <w:szCs w:val="21"/>
                <w:rtl w:val="0"/>
              </w:rPr>
              <w:t xml:space="preserve">0,717</w:t>
            </w:r>
            <w:r>
              <w:rPr>
                <w:rtl w:val="0"/>
              </w:rPr>
            </w:r>
          </w:p>
        </w:tc>
        <w:tc>
          <w:tcPr/>
          <w:p w:rsidR="00000000" w:rsidDel="00000000" w:rsidP="00000000" w:rsidRDefault="00000000" w:rsidRPr="00000000" w14:paraId="00000055">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56">
            <w:pPr>
              <w:ind w:firstLine="0"/>
              <w:jc w:val="center"/>
              <w:rPr/>
            </w:pPr>
            <w:r>
              <w:rPr>
                <w:rFonts w:ascii="Arial" w:cs="Arial" w:eastAsia="Arial" w:hAnsi="Arial"/>
                <w:sz w:val="21"/>
                <w:szCs w:val="21"/>
                <w:rtl w:val="0"/>
              </w:rPr>
              <w:t xml:space="preserve">−0,028</w:t>
            </w:r>
            <w:r>
              <w:rPr>
                <w:rtl w:val="0"/>
              </w:rPr>
            </w:r>
          </w:p>
        </w:tc>
        <w:tc>
          <w:tcPr/>
          <w:p w:rsidR="00000000" w:rsidDel="00000000" w:rsidP="00000000" w:rsidRDefault="00000000" w:rsidRPr="00000000" w14:paraId="00000057">
            <w:pPr>
              <w:ind w:firstLine="0"/>
              <w:jc w:val="center"/>
              <w:rPr/>
            </w:pPr>
            <w:r>
              <w:rPr>
                <w:rFonts w:ascii="Arial" w:cs="Arial" w:eastAsia="Arial" w:hAnsi="Arial"/>
                <w:sz w:val="21"/>
                <w:szCs w:val="21"/>
                <w:rtl w:val="0"/>
              </w:rPr>
              <w:t xml:space="preserve">0,081</w:t>
            </w:r>
            <w:r>
              <w:rPr>
                <w:rtl w:val="0"/>
              </w:rPr>
            </w:r>
          </w:p>
        </w:tc>
      </w:tr>
      <w:tr>
        <w:trPr>
          <w:cantSplit w:val="1"/>
          <w:tblHeader w:val="0"/>
        </w:trPr>
        <w:tc>
          <w:tcPr/>
          <w:p w:rsidR="00000000" w:rsidDel="00000000" w:rsidP="00000000" w:rsidRDefault="00000000" w:rsidRPr="00000000" w14:paraId="00000058">
            <w:pPr>
              <w:ind w:firstLine="0"/>
              <w:jc w:val="left"/>
              <w:rPr/>
            </w:pPr>
            <w:r>
              <w:rPr>
                <w:rFonts w:ascii="Arial" w:cs="Arial" w:eastAsia="Arial" w:hAnsi="Arial"/>
                <w:sz w:val="21"/>
                <w:szCs w:val="21"/>
                <w:rtl w:val="0"/>
              </w:rPr>
              <w:t xml:space="preserve">Primos vs. identidade</w:t>
            </w:r>
            <w:r>
              <w:rPr>
                <w:rtl w:val="0"/>
              </w:rPr>
            </w:r>
          </w:p>
        </w:tc>
        <w:tc>
          <w:tcPr/>
          <w:p w:rsidR="00000000" w:rsidDel="00000000" w:rsidP="00000000" w:rsidRDefault="00000000" w:rsidRPr="00000000" w14:paraId="00000059">
            <w:pPr>
              <w:ind w:firstLine="0"/>
              <w:jc w:val="center"/>
              <w:rPr/>
            </w:pPr>
            <w:r>
              <w:rPr>
                <w:rFonts w:ascii="Arial" w:cs="Arial" w:eastAsia="Arial" w:hAnsi="Arial"/>
                <w:sz w:val="21"/>
                <w:szCs w:val="21"/>
                <w:rtl w:val="0"/>
              </w:rPr>
              <w:t xml:space="preserve">Externa</w:t>
            </w:r>
            <w:r>
              <w:rPr>
                <w:rtl w:val="0"/>
              </w:rPr>
            </w:r>
          </w:p>
        </w:tc>
        <w:tc>
          <w:tcPr/>
          <w:p w:rsidR="00000000" w:rsidDel="00000000" w:rsidP="00000000" w:rsidRDefault="00000000" w:rsidRPr="00000000" w14:paraId="0000005A">
            <w:pPr>
              <w:ind w:firstLine="0"/>
              <w:jc w:val="center"/>
              <w:rPr/>
            </w:pPr>
            <w:r>
              <w:rPr>
                <w:rFonts w:ascii="Arial" w:cs="Arial" w:eastAsia="Arial" w:hAnsi="Arial"/>
                <w:sz w:val="21"/>
                <w:szCs w:val="21"/>
                <w:rtl w:val="0"/>
              </w:rPr>
              <w:t xml:space="preserve">0,681</w:t>
            </w:r>
            <w:r>
              <w:rPr>
                <w:rtl w:val="0"/>
              </w:rPr>
            </w:r>
          </w:p>
        </w:tc>
        <w:tc>
          <w:tcPr/>
          <w:p w:rsidR="00000000" w:rsidDel="00000000" w:rsidP="00000000" w:rsidRDefault="00000000" w:rsidRPr="00000000" w14:paraId="0000005B">
            <w:pPr>
              <w:ind w:firstLine="0"/>
              <w:jc w:val="center"/>
              <w:rPr/>
            </w:pPr>
            <w:r>
              <w:rPr>
                <w:rFonts w:ascii="Arial" w:cs="Arial" w:eastAsia="Arial" w:hAnsi="Arial"/>
                <w:sz w:val="21"/>
                <w:szCs w:val="21"/>
                <w:rtl w:val="0"/>
              </w:rPr>
              <w:t xml:space="preserve">0,718</w:t>
            </w:r>
            <w:r>
              <w:rPr>
                <w:rtl w:val="0"/>
              </w:rPr>
            </w:r>
          </w:p>
        </w:tc>
        <w:tc>
          <w:tcPr/>
          <w:p w:rsidR="00000000" w:rsidDel="00000000" w:rsidP="00000000" w:rsidRDefault="00000000" w:rsidRPr="00000000" w14:paraId="0000005C">
            <w:pPr>
              <w:ind w:firstLine="0"/>
              <w:jc w:val="center"/>
              <w:rPr/>
            </w:pPr>
            <w:r>
              <w:rPr>
                <w:rFonts w:ascii="Arial" w:cs="Arial" w:eastAsia="Arial" w:hAnsi="Arial"/>
                <w:sz w:val="21"/>
                <w:szCs w:val="21"/>
                <w:rtl w:val="0"/>
              </w:rPr>
              <w:t xml:space="preserve">−0,038</w:t>
            </w:r>
            <w:r>
              <w:rPr>
                <w:rtl w:val="0"/>
              </w:rPr>
            </w:r>
          </w:p>
        </w:tc>
        <w:tc>
          <w:tcPr/>
          <w:p w:rsidR="00000000" w:rsidDel="00000000" w:rsidP="00000000" w:rsidRDefault="00000000" w:rsidRPr="00000000" w14:paraId="0000005D">
            <w:pPr>
              <w:ind w:firstLine="0"/>
              <w:jc w:val="center"/>
              <w:rPr/>
            </w:pPr>
            <w:r>
              <w:rPr>
                <w:rFonts w:ascii="Arial" w:cs="Arial" w:eastAsia="Arial" w:hAnsi="Arial"/>
                <w:sz w:val="21"/>
                <w:szCs w:val="21"/>
                <w:rtl w:val="0"/>
              </w:rPr>
              <w:t xml:space="preserve">0,045</w:t>
            </w:r>
            <w:r>
              <w:rPr>
                <w:rtl w:val="0"/>
              </w:rPr>
            </w:r>
          </w:p>
        </w:tc>
      </w:tr>
      <w:tr>
        <w:trPr>
          <w:cantSplit w:val="1"/>
          <w:tblHeader w:val="0"/>
        </w:trPr>
        <w:tc>
          <w:tcPr/>
          <w:p w:rsidR="00000000" w:rsidDel="00000000" w:rsidP="00000000" w:rsidRDefault="00000000" w:rsidRPr="00000000" w14:paraId="0000005E">
            <w:pPr>
              <w:ind w:firstLine="0"/>
              <w:jc w:val="left"/>
              <w:rPr/>
            </w:pPr>
            <w:r>
              <w:rPr>
                <w:rFonts w:ascii="Arial" w:cs="Arial" w:eastAsia="Arial" w:hAnsi="Arial"/>
                <w:sz w:val="21"/>
                <w:szCs w:val="21"/>
                <w:rtl w:val="0"/>
              </w:rPr>
              <w:t xml:space="preserve">Híbrido vs. bioquímico</w:t>
            </w:r>
            <w:r>
              <w:rPr>
                <w:rtl w:val="0"/>
              </w:rPr>
            </w:r>
          </w:p>
        </w:tc>
        <w:tc>
          <w:tcPr/>
          <w:p w:rsidR="00000000" w:rsidDel="00000000" w:rsidP="00000000" w:rsidRDefault="00000000" w:rsidRPr="00000000" w14:paraId="0000005F">
            <w:pPr>
              <w:ind w:firstLine="0"/>
              <w:jc w:val="center"/>
              <w:rPr/>
            </w:pPr>
            <w:r>
              <w:rPr>
                <w:rFonts w:ascii="Arial" w:cs="Arial" w:eastAsia="Arial" w:hAnsi="Arial"/>
                <w:sz w:val="21"/>
                <w:szCs w:val="21"/>
                <w:rtl w:val="0"/>
              </w:rPr>
              <w:t xml:space="preserve">Bloqueada</w:t>
            </w:r>
            <w:r>
              <w:rPr>
                <w:rtl w:val="0"/>
              </w:rPr>
            </w:r>
          </w:p>
        </w:tc>
        <w:tc>
          <w:tcPr/>
          <w:p w:rsidR="00000000" w:rsidDel="00000000" w:rsidP="00000000" w:rsidRDefault="00000000" w:rsidRPr="00000000" w14:paraId="00000060">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61">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62">
            <w:pPr>
              <w:ind w:firstLine="0"/>
              <w:jc w:val="center"/>
              <w:rPr/>
            </w:pPr>
            <w:r>
              <w:rPr>
                <w:rFonts w:ascii="Arial" w:cs="Arial" w:eastAsia="Arial" w:hAnsi="Arial"/>
                <w:sz w:val="21"/>
                <w:szCs w:val="21"/>
                <w:rtl w:val="0"/>
              </w:rPr>
              <w:t xml:space="preserve">−0,019</w:t>
            </w:r>
            <w:r>
              <w:rPr>
                <w:rtl w:val="0"/>
              </w:rPr>
            </w:r>
          </w:p>
        </w:tc>
        <w:tc>
          <w:tcPr/>
          <w:p w:rsidR="00000000" w:rsidDel="00000000" w:rsidP="00000000" w:rsidRDefault="00000000" w:rsidRPr="00000000" w14:paraId="00000063">
            <w:pPr>
              <w:ind w:firstLine="0"/>
              <w:jc w:val="center"/>
              <w:rPr/>
            </w:pPr>
            <w:r>
              <w:rPr>
                <w:rFonts w:ascii="Arial" w:cs="Arial" w:eastAsia="Arial" w:hAnsi="Arial"/>
                <w:sz w:val="21"/>
                <w:szCs w:val="21"/>
                <w:rtl w:val="0"/>
              </w:rPr>
              <w:t xml:space="preserve">&lt;0,0001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64">
            <w:pPr>
              <w:ind w:firstLine="0"/>
              <w:jc w:val="left"/>
              <w:rPr/>
            </w:pPr>
            <w:r>
              <w:rPr>
                <w:rFonts w:ascii="Arial" w:cs="Arial" w:eastAsia="Arial" w:hAnsi="Arial"/>
                <w:sz w:val="21"/>
                <w:szCs w:val="21"/>
                <w:rtl w:val="0"/>
              </w:rPr>
              <w:t xml:space="preserve">Híbrido vs. bioquímico</w:t>
            </w:r>
            <w:r>
              <w:rPr>
                <w:rtl w:val="0"/>
              </w:rPr>
            </w:r>
          </w:p>
        </w:tc>
        <w:tc>
          <w:tcPr>
            <w:tcBorders>
              <w:bottom w:color="000000" w:space="0" w:sz="10" w:val="single"/>
            </w:tcBorders>
          </w:tcPr>
          <w:p w:rsidR="00000000" w:rsidDel="00000000" w:rsidP="00000000" w:rsidRDefault="00000000" w:rsidRPr="00000000" w14:paraId="00000065">
            <w:pPr>
              <w:ind w:firstLine="0"/>
              <w:jc w:val="center"/>
              <w:rPr/>
            </w:pPr>
            <w:r>
              <w:rPr>
                <w:rFonts w:ascii="Arial" w:cs="Arial" w:eastAsia="Arial" w:hAnsi="Arial"/>
                <w:sz w:val="21"/>
                <w:szCs w:val="21"/>
                <w:rtl w:val="0"/>
              </w:rPr>
              <w:t xml:space="preserve">Externa</w:t>
            </w:r>
            <w:r>
              <w:rPr>
                <w:rtl w:val="0"/>
              </w:rPr>
            </w:r>
          </w:p>
        </w:tc>
        <w:tc>
          <w:tcPr>
            <w:tcBorders>
              <w:bottom w:color="000000" w:space="0" w:sz="10" w:val="single"/>
            </w:tcBorders>
          </w:tcPr>
          <w:p w:rsidR="00000000" w:rsidDel="00000000" w:rsidP="00000000" w:rsidRDefault="00000000" w:rsidRPr="00000000" w14:paraId="00000066">
            <w:pPr>
              <w:ind w:firstLine="0"/>
              <w:jc w:val="center"/>
              <w:rPr/>
            </w:pPr>
            <w:r>
              <w:rPr>
                <w:rFonts w:ascii="Arial" w:cs="Arial" w:eastAsia="Arial" w:hAnsi="Arial"/>
                <w:sz w:val="21"/>
                <w:szCs w:val="21"/>
                <w:rtl w:val="0"/>
              </w:rPr>
              <w:t xml:space="preserve">0,765</w:t>
            </w:r>
            <w:r>
              <w:rPr>
                <w:rtl w:val="0"/>
              </w:rPr>
            </w:r>
          </w:p>
        </w:tc>
        <w:tc>
          <w:tcPr>
            <w:tcBorders>
              <w:bottom w:color="000000" w:space="0" w:sz="10" w:val="single"/>
            </w:tcBorders>
          </w:tcPr>
          <w:p w:rsidR="00000000" w:rsidDel="00000000" w:rsidP="00000000" w:rsidRDefault="00000000" w:rsidRPr="00000000" w14:paraId="00000067">
            <w:pPr>
              <w:ind w:firstLine="0"/>
              <w:jc w:val="center"/>
              <w:rPr/>
            </w:pPr>
            <w:r>
              <w:rPr>
                <w:rFonts w:ascii="Arial" w:cs="Arial" w:eastAsia="Arial" w:hAnsi="Arial"/>
                <w:sz w:val="21"/>
                <w:szCs w:val="21"/>
                <w:rtl w:val="0"/>
              </w:rPr>
              <w:t xml:space="preserve">0,791</w:t>
            </w:r>
            <w:r>
              <w:rPr>
                <w:rtl w:val="0"/>
              </w:rPr>
            </w:r>
          </w:p>
        </w:tc>
        <w:tc>
          <w:tcPr>
            <w:tcBorders>
              <w:bottom w:color="000000" w:space="0" w:sz="10" w:val="single"/>
            </w:tcBorders>
          </w:tcPr>
          <w:p w:rsidR="00000000" w:rsidDel="00000000" w:rsidP="00000000" w:rsidRDefault="00000000" w:rsidRPr="00000000" w14:paraId="00000068">
            <w:pPr>
              <w:ind w:firstLine="0"/>
              <w:jc w:val="center"/>
              <w:rPr/>
            </w:pPr>
            <w:r>
              <w:rPr>
                <w:rFonts w:ascii="Arial" w:cs="Arial" w:eastAsia="Arial" w:hAnsi="Arial"/>
                <w:sz w:val="21"/>
                <w:szCs w:val="21"/>
                <w:rtl w:val="0"/>
              </w:rPr>
              <w:t xml:space="preserve">−0,027</w:t>
            </w:r>
            <w:r>
              <w:rPr>
                <w:rtl w:val="0"/>
              </w:rPr>
            </w:r>
          </w:p>
        </w:tc>
        <w:tc>
          <w:tcPr>
            <w:tcBorders>
              <w:bottom w:color="000000" w:space="0" w:sz="10" w:val="single"/>
            </w:tcBorders>
          </w:tcPr>
          <w:p w:rsidR="00000000" w:rsidDel="00000000" w:rsidP="00000000" w:rsidRDefault="00000000" w:rsidRPr="00000000" w14:paraId="00000069">
            <w:pPr>
              <w:ind w:firstLine="0"/>
              <w:jc w:val="center"/>
              <w:rPr/>
            </w:pPr>
            <w:r>
              <w:rPr>
                <w:rFonts w:ascii="Arial" w:cs="Arial" w:eastAsia="Arial" w:hAnsi="Arial"/>
                <w:sz w:val="21"/>
                <w:szCs w:val="21"/>
                <w:rtl w:val="0"/>
              </w:rPr>
              <w:t xml:space="preserve">&lt;0,0001</w:t>
            </w:r>
            <w:r>
              <w:rPr>
                <w:rtl w:val="0"/>
              </w:rPr>
            </w:r>
          </w:p>
        </w:tc>
      </w:tr>
    </w:tbl>
    <w:p w:rsidR="00000000" w:rsidDel="00000000" w:rsidP="00000000" w:rsidRDefault="00000000" w:rsidRPr="00000000" w14:paraId="0000006A">
      <w:pPr>
        <w:spacing w:after="240" w:lineRule="auto"/>
        <w:ind w:firstLine="0"/>
        <w:rPr/>
      </w:pPr>
      <w:r>
        <w:rPr>
          <w:sz w:val="23"/>
          <w:szCs w:val="23"/>
          <w:rtl w:val="0"/>
        </w:rPr>
        <w:t xml:space="preserve">Fonte: autoria própria</w:t>
      </w:r>
      <w:r>
        <w:rPr>
          <w:rtl w:val="0"/>
        </w:rPr>
      </w:r>
    </w:p>
    <w:p w:rsidR="00000000" w:rsidDel="00000000" w:rsidP="00000000" w:rsidRDefault="00000000" w:rsidRPr="00000000" w14:paraId="0000006B">
      <w:pPr>
        <w:spacing w:after="0" w:before="0" w:lineRule="auto"/>
        <w:ind w:firstLine="709"/>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A diferença é uma tendência não significativa na CV interna (p = 0,081), mas significativa na generalização externa (p = 0,045), e adicionar primos a um modelo bioquímico piora o desempenho externo (p &lt; 0,0001). A conclusão é direta: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Sob validação ingênua (sem bloqueio por grupo), a identidade combinada à posição bruta chega a AUC próxima de 0,90, valor inflado, pois variantes da mesma posição compartilham rótulo e aparecem em treino e teste simultaneamente. Esse é o alerta metodológico central: benchmarks que não bloqueiam a posição superestimam o desempenho,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 xml:space="preserve">Com a substituição da posição bruta por região funcional, obteve-se um modelo que generaliza melhor externamente (Tabela 3;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 xml:space="preserve">Tabela 3.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 xml:space="preserve">DeLong domínio vs. bioquímico: p = 3,2 × 10⁻⁹ (interno), p = 1,8 × 10⁻¹³ (externo). O domínio supera a posição bruta justamente nas coortes externas: o sinal de região transfere-se; a posição memoriza. A coluna 'CV bloqueada' (aqui e na Tabela 4) reporta uma execução de referência (5 folds, semente fixa); a média de 12 sementes consta no texto (seção Robustez).</w:t>
      </w:r>
    </w:p>
    <w:p w:rsidR="00000000" w:rsidDel="00000000" w:rsidP="00000000" w:rsidRDefault="00000000" w:rsidRPr="00000000" w14:paraId="0000007F">
      <w:pPr>
        <w:spacing w:after="240" w:lineRule="auto"/>
        <w:ind w:firstLine="0"/>
        <w:jc w:val="left"/>
        <w:rPr>
          <w:i w:val="1"/>
          <w:iCs w:val="1"/>
          <w:sz w:val="19"/>
          <w:szCs w:val="19"/>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1">
      <w:pPr>
        <w:spacing w:after="240" w:lineRule="auto"/>
        <w:ind w:firstLine="0"/>
        <w:jc w:val="center"/>
        <w:rPr>
          <w:b w:val="1"/>
          <w:bCs w:val="1"/>
          <w:sz w:val="20"/>
          <w:szCs w:val="20"/>
        </w:rPr>
      </w:pPr>
      <w:r>
        <w:rPr>
          <w:rtl w:val="0"/>
        </w:rPr>
      </w:r>
    </w:p>
    <w:p w:rsidR="00000000" w:rsidDel="00000000" w:rsidP="00000000" w:rsidRDefault="00000000" w:rsidRPr="00000000" w14:paraId="00000082">
      <w:pPr>
        <w:spacing w:after="240" w:lineRule="auto"/>
        <w:ind w:firstLine="0"/>
        <w:jc w:val="center"/>
        <w:rPr>
          <w:b w:val="1"/>
          <w:bCs w:val="1"/>
          <w:sz w:val="20"/>
          <w:szCs w:val="20"/>
        </w:rPr>
      </w:pPr>
      <w:r>
        <w:rPr>
          <w:rtl w:val="0"/>
        </w:rPr>
      </w:r>
    </w:p>
    <w:p w:rsidR="00000000" w:rsidDel="00000000" w:rsidP="00000000" w:rsidRDefault="00000000" w:rsidRPr="00000000" w14:paraId="00000083">
      <w:pPr>
        <w:spacing w:after="240" w:lineRule="auto"/>
        <w:ind w:firstLine="0"/>
        <w:jc w:val="center"/>
        <w:rPr>
          <w:b w:val="1"/>
          <w:bCs w:val="1"/>
          <w:sz w:val="20"/>
          <w:szCs w:val="20"/>
        </w:rPr>
      </w:pPr>
      <w:r>
        <w:rPr>
          <w:rtl w:val="0"/>
        </w:rPr>
      </w:r>
    </w:p>
    <w:p w:rsidR="00000000" w:rsidDel="00000000" w:rsidP="00000000" w:rsidRDefault="00000000" w:rsidRPr="00000000" w14:paraId="00000084">
      <w:pPr>
        <w:spacing w:after="240" w:lineRule="auto"/>
        <w:ind w:firstLine="0"/>
        <w:jc w:val="center"/>
        <w:rPr>
          <w:b w:val="1"/>
          <w:bCs w:val="1"/>
          <w:sz w:val="20"/>
          <w:szCs w:val="20"/>
        </w:rPr>
      </w:pPr>
      <w:r>
        <w:rPr>
          <w:rtl w:val="0"/>
        </w:rPr>
      </w:r>
    </w:p>
    <w:p w:rsidR="00000000" w:rsidDel="00000000" w:rsidP="00000000" w:rsidRDefault="00000000" w:rsidRPr="00000000" w14:paraId="00000085">
      <w:pPr>
        <w:spacing w:after="240" w:lineRule="auto"/>
        <w:ind w:firstLine="0"/>
        <w:jc w:val="left"/>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três no sítio de zinco (Cys39Gly, Cys64Gly, Cys61Tyr) e três no núcleo do BRCT (Met1689Arg, Leu1705Pro, Trp1837Cys),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8C">
      <w:pPr>
        <w:spacing w:after="80" w:before="0" w:lineRule="auto"/>
        <w:ind w:firstLine="709"/>
        <w:rPr/>
      </w:pPr>
      <w:r>
        <w:rPr>
          <w:rtl w:val="0"/>
        </w:rPr>
      </w:r>
    </w:p>
    <w:p w:rsidR="00000000" w:rsidDel="00000000" w:rsidP="00000000" w:rsidRDefault="00000000" w:rsidRPr="00000000" w14:paraId="0000008D">
      <w:pPr>
        <w:spacing w:after="80" w:before="0" w:lineRule="auto"/>
        <w:ind w:firstLine="709"/>
        <w:rPr/>
      </w:pPr>
      <w:r>
        <w:rPr>
          <w:rtl w:val="0"/>
        </w:rPr>
      </w:r>
    </w:p>
    <w:p w:rsidR="00000000" w:rsidDel="00000000" w:rsidP="00000000" w:rsidRDefault="00000000" w:rsidRPr="00000000" w14:paraId="0000008E">
      <w:pPr>
        <w:spacing w:after="80" w:before="0" w:lineRule="auto"/>
        <w:ind w:firstLine="709"/>
        <w:rPr/>
      </w:pPr>
      <w:r>
        <w:rPr>
          <w:rtl w:val="0"/>
        </w:rPr>
      </w:r>
    </w:p>
    <w:p w:rsidR="00000000" w:rsidDel="00000000" w:rsidP="00000000" w:rsidRDefault="00000000" w:rsidRPr="00000000" w14:paraId="0000008F">
      <w:pPr>
        <w:spacing w:after="80" w:before="0" w:lineRule="auto"/>
        <w:ind w:firstLine="709"/>
        <w:rPr/>
      </w:pPr>
      <w:r>
        <w:rPr>
          <w:rtl w:val="0"/>
        </w:rPr>
      </w:r>
    </w:p>
    <w:p w:rsidR="00000000" w:rsidDel="00000000" w:rsidP="00000000" w:rsidRDefault="00000000" w:rsidRPr="00000000" w14:paraId="00000090">
      <w:pPr>
        <w:spacing w:after="240" w:lineRule="auto"/>
        <w:ind w:firstLine="0"/>
        <w:jc w:val="left"/>
        <w:rPr/>
      </w:pPr>
      <w:r>
        <w:rPr>
          <w:b w:val="1"/>
          <w:bCs w:val="1"/>
          <w:sz w:val="20"/>
          <w:szCs w:val="20"/>
          <w:rtl w:val="0"/>
        </w:rPr>
        <w:t xml:space="preserve">Figura 3.</w:t>
      </w:r>
      <w:r>
        <w:rPr>
          <w:sz w:val="20"/>
          <w:szCs w:val="20"/>
          <w:rtl w:val="0"/>
        </w:rPr>
        <w:t xml:space="preserve"> RING de BRCA1 (PDB 1JM7), colorido por intensidade de detecção (azul = tolerante; dourado = detectada). Os dois íons de zinco (esferas) são coordenados por cisteínas identificadas, de forma independente, como a região mais sensível, coerente com décadas de literatura sobre o domínio.</w:t>
      </w:r>
      <w:r>
        <w:rPr>
          <w:rtl w:val="0"/>
        </w:rPr>
      </w:r>
    </w:p>
    <w:p w:rsidR="00000000" w:rsidDel="00000000" w:rsidP="00000000" w:rsidRDefault="00000000" w:rsidRPr="00000000" w14:paraId="00000091">
      <w:pPr>
        <w:spacing w:before="200" w:lineRule="auto"/>
        <w:ind w:firstLine="0"/>
        <w:jc w:val="center"/>
        <w:rPr/>
      </w:pPr>
      <w:r>
        <w:rPr/>
        <w:drawing>
          <wp:inline distB="0" distT="0" distL="114300" distR="114300">
            <wp:extent cx="3417090" cy="2133154"/>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17090" cy="2133154"/>
                    </a:xfrm>
                    <a:prstGeom prst="rect"/>
                    <a:ln/>
                  </pic:spPr>
                </pic:pic>
              </a:graphicData>
            </a:graphic>
          </wp:inline>
        </w:drawing>
      </w:r>
      <w:r>
        <w:rPr>
          <w:rtl w:val="0"/>
        </w:rPr>
      </w:r>
    </w:p>
    <w:p w:rsidR="00000000" w:rsidDel="00000000" w:rsidP="00000000" w:rsidRDefault="00000000" w:rsidRPr="00000000" w14:paraId="00000092">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3">
      <w:pPr>
        <w:spacing w:after="240" w:lineRule="auto"/>
        <w:ind w:firstLine="0"/>
        <w:jc w:val="left"/>
        <w:rPr/>
      </w:pPr>
      <w:r>
        <w:rPr>
          <w:b w:val="1"/>
          <w:bCs w:val="1"/>
          <w:sz w:val="20"/>
          <w:szCs w:val="20"/>
          <w:rtl w:val="0"/>
        </w:rPr>
        <w:t xml:space="preserve">Figura 4.</w:t>
      </w:r>
      <w:r>
        <w:rPr>
          <w:sz w:val="20"/>
          <w:szCs w:val="20"/>
          <w:rtl w:val="0"/>
        </w:rPr>
        <w:t xml:space="preserve"> Seis variantes de BRCA1 confirmadas patogênicas no ClinVar, cada uma sobre sua estrutura real, com o veredito do ClinVar (selo verde) e a chamada do modelo (selo dourado),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(o núcleo funcional de cada domínio) emergem de forma independente em BRCA1 (BRCT) e BRCA2 (DBD), assinatura estrutural comum e não sinal ajustado a um único gene.</w:t>
      </w:r>
    </w:p>
    <w:p w:rsidR="00000000" w:rsidDel="00000000" w:rsidP="00000000" w:rsidRDefault="00000000" w:rsidRPr="00000000" w14:paraId="00000097">
      <w:pPr>
        <w:spacing w:after="240" w:lineRule="auto"/>
        <w:ind w:firstLine="0"/>
        <w:jc w:val="left"/>
        <w:rPr/>
      </w:pPr>
      <w:r>
        <w:rPr>
          <w:b w:val="1"/>
          <w:bCs w:val="1"/>
          <w:sz w:val="20"/>
          <w:szCs w:val="20"/>
          <w:rtl w:val="0"/>
        </w:rPr>
        <w:t xml:space="preserve">Figura 5.</w:t>
      </w:r>
      <w:r>
        <w:rPr>
          <w:sz w:val="20"/>
          <w:szCs w:val="20"/>
          <w:rtl w:val="0"/>
        </w:rPr>
        <w:t xml:space="preserve"> Paisagem de detecção na superfície molecular completa do domínio BRCT de BRCA1 e do domínio de ligação ao DNA (DBD) de BRCA2. As zonas douradas (o núcleo funcional de cada domínio) concentram as detecções de patogenicidade; a mesma assinatura estrutural emerge nos dois genes de forma independente, evidência visual de que o modelo capturou mecanismo transferível, e não um artefato específico de BRCA1.</w:t>
      </w:r>
      <w:r>
        <w:rPr>
          <w:rtl w:val="0"/>
        </w:rPr>
      </w:r>
    </w:p>
    <w:p w:rsidR="00000000" w:rsidDel="00000000" w:rsidP="00000000" w:rsidRDefault="00000000" w:rsidRPr="00000000" w14:paraId="00000098">
      <w:pPr>
        <w:spacing w:before="200" w:lineRule="auto"/>
        <w:ind w:firstLine="0"/>
        <w:jc w:val="center"/>
        <w:rPr/>
      </w:pPr>
      <w:r>
        <w:rPr/>
        <w:drawing>
          <wp:inline distB="0" distT="0" distL="114300" distR="114300">
            <wp:extent cx="4200425" cy="3035453"/>
            <wp:effectExtent b="0" l="0" r="0" t="0"/>
            <wp:docPr id="4"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4200425" cy="3035453"/>
                    </a:xfrm>
                    <a:prstGeom prst="rect"/>
                    <a:ln/>
                  </pic:spPr>
                </pic:pic>
              </a:graphicData>
            </a:graphic>
          </wp:inline>
        </w:drawing>
      </w:r>
      <w:r>
        <w:rPr>
          <w:rtl w:val="0"/>
        </w:rPr>
      </w:r>
    </w:p>
    <w:p w:rsidR="00000000" w:rsidDel="00000000" w:rsidP="00000000" w:rsidRDefault="00000000" w:rsidRPr="00000000" w14:paraId="0000009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ressalva importante: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desempenho que não se explica pela distribuição de classes. Examinado coorte a coorte (Tabela 5), o modelo-carro-chefe atinge 0,968 e 0,953 nas duas coortes de painel especialista (onde os rótulos têm máxima confiança)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 xml:space="preserve">Tabela 4.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 xml:space="preserve">Tabela 5.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Vazamento a favor de terceiros: a comparação criteriosa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6; Tabela 6). REVEL e CADD são treinados, e o AlphaMissense é calibrado,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(robusta ao desbalanceamento; base trivial 0,172),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mesmo a única ferramenta sem circularidade não o supera. Tentou-se isolar o vazamento por corte temporal (≥ 2024); o recorte não separa o efeito de forma limpa: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 xml:space="preserve">Figura 6.</w:t>
      </w:r>
      <w:r>
        <w:rPr>
          <w:sz w:val="20"/>
          <w:szCs w:val="20"/>
          <w:rtl w:val="0"/>
        </w:rPr>
        <w:t xml:space="preserve"> Comparação criteriosa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Tabela 6. Comparação criteriosa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n/a</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a melhor marca do estudo, superando mesmo o REVEL isolado (DeLong p = 0,43). Como esse meta-modelo inclui os preditores de terceiros, herda em parte a circularidade discutida acima; o que importa, porém, é o peso que ele atribui ao PrimeVarClass: 0,60 no modelo logístico (comparável a REVEL, 0,59, e CADD, 0,49, e não nulo),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evidência confiável nas duas direções. O maior diferencial deste trabalho, porém, está na zona cinzenta do AlphaMissense (Figura 7; Tabela 7): entre 644 variantes reais que ele deixa ambíguas: 264 VUS e 192 conflitantes (Tabela 7),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 xml:space="preserve">Figura 7.</w:t>
      </w:r>
      <w:r>
        <w:rPr>
          <w:sz w:val="20"/>
          <w:szCs w:val="20"/>
          <w:rtl w:val="0"/>
        </w:rPr>
        <w:t xml:space="preserve"> Complemento ao AlphaMissense: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4952255"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952255"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 xml:space="preserve">Tabela 7.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(treinada apenas em rótulos clínicos)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(BRCA1: 0,651, apenas 21 positivos ruidosos; e BRCA2: 0,800)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de forma equitativa. Simulando implantação prospectiva por corte temporal, a AUC futura cresceu de 0,892 (corte 2016) a 0,932 (corte 2021; Tabela 8).</w:t>
      </w:r>
    </w:p>
    <w:p w:rsidR="00000000" w:rsidDel="00000000" w:rsidP="00000000" w:rsidRDefault="00000000" w:rsidRPr="00000000" w14:paraId="00000114">
      <w:pPr>
        <w:spacing w:after="240" w:lineRule="auto"/>
        <w:ind w:firstLine="0"/>
        <w:jc w:val="left"/>
        <w:rPr/>
      </w:pPr>
      <w:r>
        <w:rPr>
          <w:b/>
          <w:sz w:val="20"/>
        </w:rPr>
        <w:t xml:space="preserve">Figura 8.</w:t>
      </w:r>
      <w:r>
        <w:rPr>
          <w:sz w:val="20"/>
        </w:rPr>
        <w:t xml:space="preserve"> Mecanismo estrutural previsto versus função medida em laboratório (ensaio de reparo por recombinação homóloga; STARITA et al., 2015). As categorias de mecanismo (da coordenação de zinco à superfície) separam de forma altamente significativa os escores funcionais reais (Kruskal-Wallis p ≈ 3,5 × 10⁻³³), confirmando que o modelo raciocina sobre biologia real, e não sobre um proxy estatístico (Material Suplementar, Tabela S9 e Figura S9).</w:t>
      </w:r>
    </w:p>
    <w:p w:rsidR="00000000" w:rsidDel="00000000" w:rsidP="00000000" w:rsidRDefault="00000000" w:rsidRPr="00000000" w14:paraId="00000115">
      <w:pPr>
        <w:spacing w:before="200" w:lineRule="auto"/>
        <w:ind w:firstLine="0"/>
        <w:jc w:val="center"/>
        <w:rPr/>
      </w:pPr>
      <w:r>
        <w:rPr/>
        <w:drawing>
          <wp:inline distB="0" distT="0" distL="114300" distR="114300">
            <wp:extent cx="4183771" cy="2449956"/>
            <wp:effectExtent b="0" l="0" r="0" t="0"/>
            <wp:docPr id="9"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4183771" cy="2449956"/>
                    </a:xfrm>
                    <a:prstGeom prst="rect"/>
                    <a:ln/>
                  </pic:spPr>
                </pic:pic>
              </a:graphicData>
            </a:graphic>
          </wp:inline>
        </w:drawing>
      </w:r>
      <w:r>
        <w:rPr>
          <w:rtl w:val="0"/>
        </w:rPr>
      </w:r>
    </w:p>
    <w:p w:rsidR="00000000" w:rsidDel="00000000" w:rsidP="00000000" w:rsidRDefault="00000000" w:rsidRPr="00000000" w14:paraId="00000116">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7">
      <w:pPr>
        <w:spacing w:after="240" w:lineRule="auto"/>
        <w:ind w:firstLine="0"/>
        <w:jc w:val="center"/>
        <w:rPr/>
      </w:pPr>
      <w:r>
        <w:rPr>
          <w:b w:val="1"/>
          <w:bCs w:val="1"/>
          <w:sz w:val="20"/>
          <w:szCs w:val="20"/>
          <w:rtl w:val="0"/>
        </w:rPr>
        <w:t xml:space="preserve">Figura 9.</w:t>
      </w:r>
      <w:r>
        <w:rPr>
          <w:sz w:val="20"/>
          <w:szCs w:val="20"/>
          <w:rtl w:val="0"/>
        </w:rPr>
        <w:t xml:space="preserve"> Lacuna de resolução clínica entre ancestralidades (gnomAD) e a contribuição do modelo para reduzi-la equitativamente.</w:t>
      </w:r>
      <w:r>
        <w:rPr>
          <w:rtl w:val="0"/>
        </w:rPr>
      </w:r>
    </w:p>
    <w:p w:rsidR="00000000" w:rsidDel="00000000" w:rsidP="00000000" w:rsidRDefault="00000000" w:rsidRPr="00000000" w14:paraId="00000118">
      <w:pPr>
        <w:spacing w:before="200" w:lineRule="auto"/>
        <w:ind w:firstLine="0"/>
        <w:jc w:val="center"/>
        <w:rPr/>
      </w:pPr>
      <w:r>
        <w:rPr/>
        <w:drawing>
          <wp:inline distB="0" distT="0" distL="114300" distR="114300">
            <wp:extent cx="5086634" cy="2384989"/>
            <wp:effectExtent b="0" l="0" r="0" t="0"/>
            <wp:docPr id="8"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086634" cy="2384989"/>
                    </a:xfrm>
                    <a:prstGeom prst="rect"/>
                    <a:ln/>
                  </pic:spPr>
                </pic:pic>
              </a:graphicData>
            </a:graphic>
          </wp:inline>
        </w:drawing>
      </w:r>
      <w:r>
        <w:rPr>
          <w:rtl w:val="0"/>
        </w:rPr>
      </w:r>
    </w:p>
    <w:p w:rsidR="00000000" w:rsidDel="00000000" w:rsidP="00000000" w:rsidRDefault="00000000" w:rsidRPr="00000000" w14:paraId="00000119">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B">
      <w:pPr>
        <w:spacing w:after="240" w:lineRule="auto"/>
        <w:ind w:firstLine="0"/>
        <w:jc w:val="left"/>
        <w:rPr/>
      </w:pPr>
      <w:r>
        <w:rPr>
          <w:rtl w:val="0"/>
        </w:rPr>
      </w:r>
    </w:p>
    <w:p w:rsidR="00000000" w:rsidDel="00000000" w:rsidP="00000000" w:rsidRDefault="00000000" w:rsidRPr="00000000" w14:paraId="0000011C">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 xml:space="preserve">Tabela 8.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Com um conjunto de variantes recentes mantido travado (≥ 2024, nunca vistas no treino), rótulos confirmados foram revelados de forma acumulada ao longo do tempo: a AUC no conjunto travado sobe de 0,895 para 0,922,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 xml:space="preserve">Figura 10.</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286512"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86512"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entre 2023 e 2026 (Figura 11A): a partir de um snapshot histórico do ClinVar (junho/2023), foram identificadas 56 variantes de BRCA1/BRCA2 que eram VUS ou conflitantes em 2023 e só foram resolvidas a patogênicas/benignas até 2026. Um modelo treinado apenas no que era definitivo em 2023 (portanto cego a essas variantes)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 xml:space="preserve">Figura 11.</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(que nenhuma ferramenta pôde ter visto)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5957348"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57348"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os dois componentes são complementares de modo dependente do gene. Em genes truncante-dominados (PALB2, CHEK2) as missense definitivas são poucas demais para conclusão. Com rótulos reais do ClinVar, a receita completa generalizou ainda para von Hippel-Lindau (VHL 0,97), Lynch (MSH2 0,93; MLH1 0,75; MSH6 0,81) e MEN2 (RET 0,81); o ESM-2 como o sinal transferível que eleva todos os genes (Figura S12b). Num serviço público de oncogenética de Minas Gerais, as VUS de 210 pacientes do SUS concentraram-se justamente no ATM (7/35; RIBEIRO et al., 2025),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Discussão: rigor metodológico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o que torna o trabalho reprodutível e auditável, e cada uma delas funciona como um alerta metodológico útil para a área. A própria refutação dos primos funciona como controle negativo interno: o protocolo que atribui p = 1,8 × 10⁻¹³ ao sinal de domínio rejeita o dos primos: prova de que não valida qualquer característica indiscriminadamente. Somam-se dois pontos de rigor: os hiperparâmetros foram fixados a priori, sem ajuste nas coortes de teste; e as afirmações centrais (p entre 10⁻⁸ e 10⁻¹³) sobrevivem à correção de Bonferroni/FDR, só a comparação marginal primos-vs-identidade (p = 0,045) não, sendo por isso tratada como apoio, não decisão. Por isso o diferencial não está no AUC bruto (comparação estruturalmente injusta),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(com dados reais do ClinVar)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(usando os próprios mapas funcionais como rótulos),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O acesso à interpretação genética é desigual no Brasil (ACHATZ et al., 2020; PALMERO et al., 2007; FERNANDES et al., 2019; LASTA; GROTO; BRANDALIZE, 2023; RIBEIRO et al., 2025; NORONHA et al., 2026). É exatamente nesse ponto de convergência entre inteligência artificial e saúde (eixo temático desta edição do Prêmio Jovem Cientista, dedicada à "Inteligência Artificial para o Bem Comum")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(pacote auditável com testes automatizados, interface programática, protótipo de apoio à decisão e módulo de aprendizado contínuo usável por linha de comando),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Uma hipótese ousada (codificar aminoácidos como números primos)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(só o CADD ficou à frente, sem significância na amostra pequena); o método ainda generalizou, com dados reais, para o TP53, von Hippel-Lindau, Lynch e MEN2, muito além do escopo original. Esse método é entregue de forma aberta, explicável, auditável e eticamente contida, com aplicação direta ao contexto brasileiro de saúde de precisão. A maior força do PrimeVarClass não é um número, mas um compromisso demonstrado com o rigor científico: do teste de uma hipótese própria até a correção de uma assimetria que o desfavorecia.</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