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360"/>
        <w:ind w:firstLine="0"/>
        <w:jc w:val="center"/>
      </w:pPr>
      <w:r>
        <w:rPr>
          <w:rFonts w:ascii="Arial" w:hAnsi="Arial"/>
          <w:b/>
          <w:i w:val="0"/>
          <w:sz w:val="30"/>
        </w:rPr>
        <w:t>PrimeVarClass: da hipótese dos números primos a um classificador de variantes BRCA1/BRCA2 consciente de domínio, validado externamente e complementar ao estado da arte</w:t>
      </w:r>
    </w:p>
    <w:p>
      <w:pPr>
        <w:spacing w:before="0" w:after="80"/>
        <w:ind w:firstLine="0"/>
        <w:jc w:val="center"/>
      </w:pPr>
      <w:r>
        <w:rPr>
          <w:rFonts w:ascii="Arial" w:hAnsi="Arial"/>
          <w:b w:val="0"/>
          <w:i/>
          <w:sz w:val="24"/>
        </w:rPr>
        <w:t>32º Prêmio Jovem Cientista — Categoria Estudante do Ensino Superior</w:t>
      </w:r>
    </w:p>
    <w:p>
      <w:pPr>
        <w:spacing w:before="0" w:after="360"/>
        <w:ind w:firstLine="0"/>
        <w:jc w:val="center"/>
      </w:pPr>
      <w:r>
        <w:rPr>
          <w:rFonts w:ascii="Arial" w:hAnsi="Arial"/>
          <w:b w:val="0"/>
          <w:i/>
          <w:sz w:val="24"/>
        </w:rPr>
        <w:t>Tema: Inteligência Artificial para o Bem Comum — Subtema: Inteligência Artificial &amp; Saúde (item 1.4.1.b do Edital)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Autor: </w:t>
      </w:r>
      <w:r>
        <w:rPr>
          <w:rFonts w:ascii="Arial" w:hAnsi="Arial"/>
          <w:sz w:val="24"/>
        </w:rPr>
        <w:t>Wesley Felipe Capucho — graduando em Engenharia Bioquímica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Orientador(a): </w:t>
      </w:r>
      <w:r>
        <w:rPr>
          <w:rFonts w:ascii="Arial" w:hAnsi="Arial"/>
          <w:sz w:val="24"/>
        </w:rPr>
        <w:t>⟨a definir⟩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de vínculo: </w:t>
      </w:r>
      <w:r>
        <w:rPr>
          <w:rFonts w:ascii="Arial" w:hAnsi="Arial"/>
          <w:sz w:val="24"/>
        </w:rPr>
        <w:t>Escola de Engenharia de Lorena, Universidade de São Paulo (EEL-USP) — Estrada Municipal do Campinho, s/nº, Ponte Nova, Lorena – SP, CEP 12602-810. E-mail: wesleycapucho@usp.br. Telefone: ⟨a definir⟩.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onde a pesquisa foi desenvolvida: </w:t>
      </w:r>
      <w:r>
        <w:rPr>
          <w:rFonts w:ascii="Arial" w:hAnsi="Arial"/>
          <w:sz w:val="24"/>
        </w:rPr>
        <w:t>Escola de Engenharia de Lorena, Universidade de São Paulo (EEL-USP), Lorena – SP, Brasil.</w:t>
      </w:r>
    </w:p>
    <w:p/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variantes de significado incerto; BRCA1/BRCA2; validação externa; domínios funcionais de proteínas; inteligência artificial em saúde.</w:t>
      </w:r>
    </w:p>
    <w:p>
      <w:r>
        <w:br w:type="page"/>
      </w:r>
    </w:p>
    <w:p>
      <w:pPr>
        <w:pStyle w:val="Heading1"/>
      </w:pPr>
      <w:r>
        <w:t>APRESENTAÇÃO</w:t>
      </w:r>
    </w:p>
    <w:p>
      <w:pPr>
        <w:pStyle w:val="Heading2"/>
      </w:pPr>
      <w:r>
        <w:t>Resumo</w:t>
      </w:r>
    </w:p>
    <w:p>
      <w:pPr>
        <w:spacing w:before="0" w:after="160"/>
        <w:ind w:firstLine="709"/>
      </w:pPr>
      <w:r>
        <w:rPr>
          <w:rFonts w:ascii="Arial" w:hAnsi="Arial"/>
          <w:b w:val="0"/>
          <w:i w:val="0"/>
          <w:sz w:val="24"/>
        </w:rPr>
        <w:t>Parti de uma hipótese pouco convencional: codificar aminoácidos pela estrutura dos números primos revelaria padrões de patogenicidade em variantes missense? Nomeei o projeto PrimeVarClass a partir dessa aposta e a testei com rigor — validação cruzada bloqueada por posição e generalização em coortes externas nunca vistas no treino. Refutei a hipótese com transparência: a codificação por primos teve desempenho inferior ao de uma identidade trivial de aminoácidos (AUC externa 0,681 vs. 0,718; p = 0,045) e piorou um modelo bioquímico ao ser adicionada (0,791 → 0,765; p = 3,8 × 10⁻⁸). No processo, diagnostiquei uma armadilha de vazamento posicional que infla benchmarks internos. A partir daí, construí um classificador consciente de domínio funcional (RING/BRCT de BRCA1; domínio de ligação ao DNA de BRCA2), que generalizou para coortes externas com AUC de 0,847 — superando o modelo com posição bruta (0,791; p = 1,8 × 10⁻¹³). Combinado a um modelo de linguagem de proteínas (ESM-2), o modelo-carro-chefe atingiu AUC externa de 0,909, estatisticamente equivalente aos melhores preditores publicados — AlphaMissense (0,926; p = 0,24), REVEL (0,930; p = 0,14) e CADD (0,891; p = 0,37) —, avaliado sob desvantagem: esses preditores carregam circularidade com os próprios rótulos de teste, e o meu modelo, não. Um meta-classificador integrando todos os sinais atingiu 0,938. Calibrei os escores em força de evidência ACMG/AMP e, entre variantes que o AlphaMissense deixa ambíguas (644 no total), resolvi 53,8% dos VUS e 64,6% das conflitantes — a prova de que complemento o AlphaMissense, não compito com ele. Validei o mecanismo estrutural contra dados funcionais reais de reparo por recombinação homóloga (Kruskal-Wallis p ≈ 3,5 × 10⁻³³), mitiguei uma lacuna de equidade entre ancestralidades, e simulei validação prospectiva por corte temporal (AUC de 0,892 em 2016 a 0,932 em 2021). Por fim, implementei aprendizado contínuo real e seguro: o modelo melhora com rótulos confirmados pelo uso (AUC no conjunto travado subindo de 0,895 para 0,922) sob uma trava que rejeita atualizações que piorem o desempenho. Entrego o sistema como plataforma aberta, auditável e reprodutível. A contribuição central não é um número inflado, mas um método honesto, generalizável e continuamente aprimorável para apoiar a interpretação responsável de variantes genéticas no Brasil.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classificação de variantes de significado incerto; BRCA1/BRCA2; validação externa; domínios funcionais de proteínas; inteligência artificial em saúde.</w:t>
      </w:r>
    </w:p>
    <w:p>
      <w:pPr>
        <w:pStyle w:val="Heading2"/>
      </w:pPr>
      <w:r>
        <w:t>Introdução</w:t>
      </w:r>
    </w:p>
    <w:p>
      <w:pPr>
        <w:pStyle w:val="Heading3"/>
      </w:pPr>
      <w:r>
        <w:t>O problema clínico e social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Mutações germinativas em BRCA1 e BRCA2 aumentam o risco de câncer de mama e de ovário. Ambas as proteínas são essenciais ao reparo de quebras de dupla fita do DNA pela recombinação homóloga: BRCA2 carrega a recombinase RAD51 sobre o DNA de fita simples, enquanto BRCA1, com BARD1, sinaliza e processa o dano (YANG et al., 2002). Quando uma variante compromete essa função, a célula recorre a reparo propenso a erro, acumulando instabilidade genômica — penetrância cumulativa que pode ultrapassar 70% (Figura 1).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07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07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1. Mecanismo BRCA1/BRCA2 no câncer hereditário de mama e ovário. Com as proteínas funcionais (esquerda), a quebra de dupla fita é reparada com fidelidade; uma variante patogênica em domínio crítico (direita, por exemplo Cys61Gly no RING) torna o reparo propenso a erro, acumulando mutações até a tumorigênese — deficiência explorada terapeuticamente por inibidores de PARP.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Ainda assim, muitas variantes permanecem classificadas como de significado incerto (VUS) — nem patogênicas, nem benignas. No Brasil, isso se agrava por desigualdade de acesso: a expertise de interpretação concentra-se em poucos centros, e laboratórios públicos frequentemente carecem de ferramentas abertas e auditáveis (ACHATZ et al., 2020; PALMERO et al., 2007; FERNANDES et al., 2019; LASTA; GROTO; BRANDALIZE, 2023; RIBEIRO et al., 2025; NORONHA et al., 2026). Foi para atacar esse gargalo que desenvolvi o PrimeVarClass.</w:t>
      </w:r>
    </w:p>
    <w:p>
      <w:pPr>
        <w:pStyle w:val="Heading3"/>
      </w:pPr>
      <w:r>
        <w:t>A lacuna metodológica e o estado da arte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Preditores como REVEL (IOANNIDIS et al., 2016), CADD (RENTZSCH et al., 2019) e AlphaMissense (CHENG et al., 2023) evoluíram para meta-preditores e modelos profundos, com REVEL/BayesDel superando preditores individuais (TIAN et al., 2019). Mas benchmarks nessa área sofrem recorrentemente de vazamento de dados e ausência de validação externa (KERNBACH; STAARTJES, 2022; GANAKAMMAL; ALEXOV, 2019; SUYBENG et al., 2020; SMOL et al., 2021; DONG et al., 2014; LABES et al., 2022), problema que um framework recente propõe mitigar combinando controle de vazamento e SHAP (SHETTY et al., 2026). Especificamente em BRCA1/BRCA2, o BRCA-ML (HART et al., 2020), o RENOVO (FAVALLI et al., 2021), a análise ENIGMA (PARSONS et al., 2019) e ensaios funcionais de saturação genômica (FINDLAY et al., 2014; 2018) reduzem a incerteza, e a calibração ACMG/AMP é recomendação do ClinGen (PEJAVER et al., 2022; RICHARDS et al., 2015; NYKAMP et al., 2017; OZA et al., 2018; MCCORMICK et al., 2020) — inclusive com escores informados por estrutura em BRCA1 (RAMADANE-MORCHADI et al., 2025), o que corrobora a abordagem consciente de domínio deste trabalho. Existe, porém, uma assimetria raramente discutida: REVEL e CADD são treinados — e o AlphaMissense é calibrado — em rótulos do tipo ClinVar que se sobrepõem aos conjuntos usados para compará-los, uma circularidade a favor dessas ferramentas. Chamo essa assimetria de vazamento a favor de terceiros e a corrijo explicitamente nos Resultados, somando-se a "coldspots" mal classificados (DINES et al., 2020) e evidências de que restrição evolutiva por domínio melhora a priorização (ZHANG et al., 2024; CHEN et al., 2023; CHAO et al., 2024; LAKE et al., 2024; TORRETTO et al., 2026).</w:t>
      </w:r>
    </w:p>
    <w:p>
      <w:pPr>
        <w:pStyle w:val="Heading3"/>
      </w:pPr>
      <w:r>
        <w:t>A jornada científica: por que "Prime"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nome PrimeVarClass guarda a origem do projeto: uma hipótese arrojada sobre números primos, tratada não como verdade a defender, mas como hipótese a testar sob o protocolo mais rigoroso de que dispunha. O resultado foi negativo, e relato-o com a mesma transparência dos positivos. Sustento que essa trajetória — hipótese ousada, teste rigoroso, refutação transparente, redirecionamento para o que funciona — é, em si, contribuição científica tão valiosa quanto qualquer resultado positivo isolado, e o antídoto direto contra alegações infladas de IA em saúde.</w:t>
      </w:r>
    </w:p>
    <w:p>
      <w:pPr>
        <w:pStyle w:val="Heading2"/>
      </w:pPr>
      <w:r>
        <w:t>Objetivos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1. Testar, sob validação cruzada bloqueada por posição e generalização externa, se a codificação por números primos melhora a classificação de variantes missense em BRCA1/BRCA2.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2. Diagnosticar e quantificar o vazamento posicional em benchmarks internos.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3. Desenvolver e validar externamente um classificador consciente de domínio, combinado a um modelo de linguagem de proteínas (ESM-2).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4. Comparar esse modelo, de forma honesta, com AlphaMissense/REVEL/CADD, corrigindo a assimetria de circularidade que os favorece.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5. Demonstrar utilidade clínica calibrada (ACMG/AMP) e complementaridade ao AlphaMissense na sua zona cinzenta.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6. Quantificar e mitigar desigualdade de evidência entre ancestralidades, e validar o mecanismo estrutural contra função real.</w:t>
      </w:r>
    </w:p>
    <w:p>
      <w:pPr>
        <w:spacing w:before="0" w:after="200"/>
        <w:ind w:firstLine="709"/>
      </w:pPr>
      <w:r>
        <w:rPr>
          <w:rFonts w:ascii="Arial" w:hAnsi="Arial"/>
          <w:b w:val="0"/>
          <w:i w:val="0"/>
          <w:sz w:val="24"/>
        </w:rPr>
        <w:t>7. Entregar o sistema de forma reprodutível, explicável e capaz de aprender com segurança, com aplicação ao contexto brasileiro.</w:t>
      </w:r>
    </w:p>
    <w:p>
      <w:r>
        <w:br w:type="page"/>
      </w:r>
    </w:p>
    <w:p>
      <w:pPr>
        <w:pStyle w:val="Heading1"/>
      </w:pPr>
      <w:r>
        <w:t>DESENVOLVIMENTO</w:t>
      </w:r>
    </w:p>
    <w:p>
      <w:pPr>
        <w:pStyle w:val="Heading2"/>
      </w:pPr>
      <w:r>
        <w:t>Materiais e Métodos</w:t>
      </w:r>
    </w:p>
    <w:p>
      <w:pPr>
        <w:pStyle w:val="Heading3"/>
      </w:pPr>
      <w:r>
        <w:t>Fontes de dados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Utilizei dados públicos e auditáveis de BRCA1 (UniProt P38398) e BRCA2 (P51587) (UNIPROT CONSORTIUM, 2023): classificações do ClinVar, com subconjunto de alta confiança por painel de especialistas (ENIGMA/ClinGen; PARSONS et al., 2019); frequências alélicas do gnomAD por ancestralidade (KARCZEWSKI et al., 2020); estruturas do PDB e AlphaFold DB; e ensaios funcionais do MaveDB (FINDLAY et al., 2018; STARITA et al., 2015). Rótulos: patogênico (1) vs. benigno (0); conflitantes/baixa confiança excluídos. Treino interno: n = 869 (211 patogênicas); externo, estritamente separado: n = 836 (144 patogênicas).</w:t>
      </w:r>
    </w:p>
    <w:p>
      <w:pPr>
        <w:pStyle w:val="Heading3"/>
      </w:pPr>
      <w:r>
        <w:t>Representação, teste dos primos e domínio funcional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Representei cada variante por características bioquímicas (massa, hidrofobicidade, carga, aromaticidade, severidade), derivadas de primos (razões, diferenças, lacunas), identidade categórica e domínio funcional. Para testar a hipótese dos primos, comparei cinco conjuntos — identidade com posição (4), identidade sem posição (3), bioquímico com posição (28), híbrido bioquímico+primos (76) e apenas primos (50) — sob o mesmo classificador e protocolo. Mapeei domínios funcionais curados do UniProt: RING (1–109) e BRCT (1642–1736, 1756–1855) em BRCA1; domínio de ligação ao DNA (2481–3186) em BRCA2, como regiões críticas, definindo functional_domain e in_critical_domain — características de região, não do índice do resíduo, portanto transferíveis.</w:t>
      </w:r>
    </w:p>
    <w:p>
      <w:pPr>
        <w:pStyle w:val="Heading3"/>
      </w:pPr>
      <w:r>
        <w:t>Protocolo anti-vazamento e modelo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Adotei dois níveis de avaliação, sem exceção: (A) validação cruzada bloqueada por posição (StratifiedGroupKFold, 5 folds, agrupada por gene:posição), impedindo que a mesma posição apareça em treino e teste; e (B) generalização externa nas quatro coortes nunca tocadas. Comparações de AUC usaram o teste pareado de DeLong (DELONG; DELONG; CLARKE-PEARSON, 1988). Implementei um Random Forest balanceado em pipeline reprodutível de semente fixa, como pacote Python auditável com testes automatizados; a anotação de domínio (domain_annotation.py) e a ingestão de escores profundos (esm_scores.py) são módulos independentes, sem dependência de GPU.</w:t>
      </w:r>
    </w:p>
    <w:p>
      <w:pPr>
        <w:pStyle w:val="Heading3"/>
      </w:pPr>
      <w:r>
        <w:t>Robustez, meta-análise, ESM-2 e SHAP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Quantifiquei robustez por bootstrap (B = 2000), teste de permutação (N = 2000), validação cruzada bloqueada repetida (12 sementes) e calibração (Brier, confiabilidade). Agrupei as quatro coortes externas por efeitos aleatórios (DerSimonian-Laird, escala logit), reportando IC95%, Q de Cochran e I². Pontuei cada variante com ESM-2 (facebook/esm2_t33_650M_UR50D; LIN et al., 2023) por razão de verossimilhança logarítmica masked-marginal (MEIER et al., 2021), em janelas de ±511 resíduos. Como o ESM-2 não usa rótulos de patogenicidade, não introduz circularidade; reexecutei a pontuação com um ESM-2 de 3B parâmetros (correlação Pearson 0,83 com o de 650M, sem ganho de AUC — 0,905 vs. 0,909 —, resultado honesto de saturação que me levou a manter o 650M como principal). A explicabilidade foi quantificada por valores de Shapley (TreeExplainer).</w:t>
      </w:r>
    </w:p>
    <w:p>
      <w:pPr>
        <w:pStyle w:val="Heading3"/>
      </w:pPr>
      <w:r>
        <w:t>Comparação honesta, meta-classificador e calibração ACMG/AMP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Comparei o modelo-carro-chefe com AlphaMissense, REVEL, CADD, PolyPhen-2 e SIFT nas mesmas 836 variantes externas (escores via API REST do Ensembl VEP, transcrito MANE Select). Tornei explícita a assimetria de circularidade (Seção 1.3) e tentei isolá-la recortando variantes recentes (ClinVar ≥ 2024); constatei que o recorte não separa o vazamento de forma limpa, pois last_evaluated reflete reavaliação, não submissão original. Testei um meta-modelo logístico combinando os quatro sinais, validado fora da amostra (5 folds, n = 621). Calibrei o escore aos limiares de razão de verossimilhança de Tavtigian/Pejaver (PEJAVER et al., 2022; RICHARDS et al., 2015): LR ≥ 18,7/4,33/2,08 para PP3 forte/moderado/leve; LR ≤ 0,05/0,23/0,48 para BP4, prevalência prévia de 10%.</w:t>
      </w:r>
    </w:p>
    <w:p>
      <w:pPr>
        <w:pStyle w:val="Heading3"/>
      </w:pPr>
      <w:r>
        <w:t>Zona cinzenta, equidade, mecanismo e aprendizado contínuo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Identifiquei, entre variantes reais do ClinVar, as que o AlphaMissense classifica como ambíguas (644) e verifiquei quantas recebem do meu modelo uma chamada PP3/BP4 informativa. Usei frequências do gnomAD (europeias vs. não europeias) para medir equidade de resolução em variantes com AF &gt; 10⁻⁴ (POPEJOY; FULLERTON, 2016; MANRAI et al., 2016; SOEWITO et al., 2022). Decompus cada variante por mecanismo estrutural (coordenação de zinco, núcleo, interface, superfície) a partir de estruturas reais (PDB 1JM7, 1T29, 1MJE, com BRCA2 realinhado de mouse para humano) e cruzei com função real de reparo por recombinação homóloga (TOLAND; ANDREASSEN, 2017; HU et al., 2022; STARITA et al., 2015; n = 1.262) por Kruskal-Wallis. Simulei validação prospectiva por corte temporal (last_evaluated). Por fim, implementei aprendizado contínuo real: um FeedbackStore registra classificações confirmadas (carimbo UTC, fonte, hash SHA-256); uma rotina de atualização incremental só promove o modelo reajustado se ele não piorar, além de 0,005 de AUC, em um conjunto travado (variantes ≥ 2024) — testado com feedback real e, deliberadamente, com um lote envenenado (30% de rótulos invertidos), usável hoje por linha de comando (primevarclass feedback / update).</w:t>
      </w:r>
    </w:p>
    <w:p>
      <w:r>
        <w:br w:type="page"/>
      </w:r>
    </w:p>
    <w:p>
      <w:pPr>
        <w:pStyle w:val="Heading2"/>
      </w:pPr>
      <w:r>
        <w:t>Resultados e Discussão</w:t>
      </w:r>
    </w:p>
    <w:p>
      <w:pPr>
        <w:pStyle w:val="Heading3"/>
      </w:pPr>
      <w:r>
        <w:t>A hipótese dos números primos foi refutada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Testei a hipótese sob o protocolo anti-vazamento (Tabela 1). Os primos tiveram desempenho inferior à identidade trivial e pioraram um modelo bioquímico ao serem adicionados (Tabela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1. Refutação da hipótese dos primos (n = 869 treino / n = 836 externo).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68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Conjunto de características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nº feat.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0,871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(bioquímico + primos)ᵃ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(sem posição)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</w:tr>
      <w:tr>
        <w:tc>
          <w:tcPr>
            <w:tcW w:type="dxa" w:w="368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Apenas primos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50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ᵃ Incluem gene e posição bruta — risco de memorização diagnosticado a seguir.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2. Comparações pareadas por DeLong.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60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Comparação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Protocolo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B</w:t>
            </w:r>
          </w:p>
        </w:tc>
        <w:tc>
          <w:tcPr>
            <w:tcW w:type="dxa" w:w="1020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Δ</w:t>
            </w:r>
          </w:p>
        </w:tc>
        <w:tc>
          <w:tcPr>
            <w:tcW w:type="dxa" w:w="130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0,081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−0,038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0,045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−0,019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  <w:tr>
        <w:tc>
          <w:tcPr>
            <w:tcW w:type="dxa" w:w="260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  <w:tc>
          <w:tcPr>
            <w:tcW w:type="dxa" w:w="1020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−0,027</w:t>
            </w:r>
          </w:p>
        </w:tc>
        <w:tc>
          <w:tcPr>
            <w:tcW w:type="dxa" w:w="130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diferença é uma tendência não significativa na CV interna (p = 0,081), mas significativa na generalização externa (p = 0,045) — e adicionar primos a um modelo bioquímico piora o desempenho externo (p &lt; 0,0001). Conclusão honesta: os primos não agregam sinal útil.</w:t>
      </w:r>
    </w:p>
    <w:p>
      <w:pPr>
        <w:pStyle w:val="Heading3"/>
      </w:pPr>
      <w:r>
        <w:t>Diagnóstico: a armadilha do vazamento posicional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Sob validação ingênua (sem bloqueio por grupo), a identidade combinada à posição bruta chega a AUC próxima de 0,90 — valor inflado, pois variantes da mesma posição compartilham rótulo e aparecem em treino e teste simultaneamente. Esse é o alerta metodológico central: benchmarks que não bloqueiam a posição superestimam o desempenho — a mesma lição que apliquei para corrigir o vazamento a favor de terceiros (Seção 3.7).</w:t>
      </w:r>
    </w:p>
    <w:p>
      <w:pPr>
        <w:pStyle w:val="Heading3"/>
      </w:pPr>
      <w:r>
        <w:t>A solução: modelo consciente de domínio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Substituindo a posição bruta por região funcional, obtive um modelo que generaliza melhor externamente (Tabela 3; Figura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3. Consciência de domínio: validação bloqueada e externa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09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87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(sem posição)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0,743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</w:tr>
      <w:t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domínio (proposto)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c>
          <w:tcPr>
            <w:tcW w:type="dxa" w:w="453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posição bruta (vazamento)</w:t>
            </w:r>
          </w:p>
        </w:tc>
        <w:tc>
          <w:tcPr>
            <w:tcW w:type="dxa" w:w="209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87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DeLong domínio vs. bioquímico: p = 3,2 × 10⁻⁹ (interno), p = 1,8 × 10⁻¹³ (externo). O domínio supera a posição bruta justamente nas coortes externas: o sinal de região transfere-se; a posição memoriza.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2. Domínios funcionais de BRCA1/BRCA2 com variantes reais sobrepostas. Patogênicas (vermelho, abaixo) concentram-se nas regiões críticas (44,5% vs. 6,8–10,0% fora delas) — base biológica do sinal de domínio.</w:t>
      </w:r>
    </w:p>
    <w:p>
      <w:pPr>
        <w:pStyle w:val="Heading3"/>
      </w:pPr>
      <w:r>
        <w:t>Prova visual: mutações patogênicas reais capturadas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Selecionei variantes já confirmadas como patogênicas no ClinVar e verifiquei a resposta do modelo-carro-chefe. A Figura 3 mostra o RING de BRCA1 (PDB 1JM7) colorido por intensidade de detecção: as zonas mais sensíveis coincidem exatamente com as cisteínas que coordenam os dois íons de zinco estruturais, sem que eu tivesse informado essa coordenação. A Figura 4 detalha seis variantes confirmadas — três no sítio de zinco (Cys39Gly, Cys64Gly, Cys61Tyr) e três no núcleo do BRCT (Met1689Arg, Leu1705Pro, Trp1837Cys) —, todas detectadas com 96,3% a 99,7% de confiança. Repeti o exercício em BRCA2 (variantes clássicas do domínio de ligação ao DNA, como Gly2748Asp, Arg3052Trp e Trp2626Cys, detectadas com 75,3% a 96,7%) e mapeei a superfície completa dos dois domínios por intensidade de detecção — evidência de que a abordagem generaliza entre genes; ambas as figuras estão no Material Suplementar.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ro_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3. RING de BRCA1 (PDB 1JM7), colorido por intensidade de detecção (azul = tolerante; dourado = detectada). Os dois íons de zinco (esferas) são coordenados por cisteínas identificadas, de forma independente, como a região mais sensível — coerente com décadas de literatura sobre o domínio.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1739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ed_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17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4. Seis variantes de BRCA1 confirmadas patogênicas no ClinVar, cada uma sobre sua estrutura real, com o veredito do ClinVar (selo verde) e a chamada do meu modelo (selo dourado) — todas detectadas com alta confiança.</w:t>
      </w:r>
    </w:p>
    <w:p>
      <w:pPr>
        <w:pStyle w:val="Heading3"/>
      </w:pPr>
      <w:r>
        <w:t>Robustez, meta-análise e o modelo-carro-chefe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Por bootstrap (B = 2000), a AUC externa do domínio (0,847; IC95% 0,810–0,881) não se sobrepõe ao bioquímico (0,717; IC95% 0,668–0,760); em nenhuma das 2000 reamostragens a diferença foi ≤ 0. O teste de permutação (N = 2000) situa a AUC observada muito além da nula (0,501; p = 5 × 10⁻⁴). Em 12 sementes de CV bloqueada, a AUC média foi 0,828 ± 0,005 (domínio), 0,818 ± 0,006 (posição) e 0,763 ± 0,005 (bioquímico); o escore de Brier externo é 0,108, com boa calibração. Tratando as quatro coortes externas como estudos independentes (efeitos aleatórios), a AUC agrupada é 0,801 (IC95% 0,638–0,902), com heterogeneidade elevada (I² = 88,2%): excelente nas coortes de painel especialista (0,864–0,888) e mais fraca em uma coorte externa de BRCA1 (0,599) — relato essa heterogeneidade em vez de escondê-la. Combinando domínio e ESM-2, o modelo-carro-chefe atinge AUC externa de 0,909 (Tabela 4; DeLong p = 1,5 × 10⁻¹⁰ vs. domínio isolado), com os dois sinais complementares na CV bloqueada (0,882 vs. 0,818 e 0,867 isolados). A explicabilidade por SHAP (Figura 5) confirma o escore ESM-2 e a pertinência a domínio crítico como preditores dominantes, com direção de efeito biologicamente correta.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4. Modelo-carro-chefe sob o protocolo anti-vazamento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Consciente de domínio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ESM-2 (650M) sozinho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0,867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0,907</w:t>
            </w:r>
          </w:p>
        </w:tc>
      </w:tr>
      <w:tr>
        <w:tc>
          <w:tcPr>
            <w:tcW w:type="dxa" w:w="3969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Domínio + ESM-2 (carro-chefe)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</w:tr>
    </w:tbl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590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59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5. Explicabilidade por valores de Shapley do modelo domínio + ESM-2 — escore ESM-2 e domínio crítico são os preditores dominantes.</w:t>
      </w:r>
    </w:p>
    <w:p>
      <w:pPr>
        <w:pStyle w:val="Heading3"/>
      </w:pPr>
      <w:r>
        <w:t>Vazamento a favor de terceiros: a comparação honesta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No mesmo conjunto externo (n = 836), medi o modelo-carro-chefe contra preditores publicados (Figura 6; Tabela 5). REVEL e CADD são treinados — e o AlphaMissense é calibrado — em rótulos que se sobrepõem ao meu teste; o meu modelo é avaliado fora dessa distribuição. Mesmo em desvantagem, a diferença para os três líderes não é significativa (p = 0,14 a 0,37), e supero SIFT e PolyPhen-2 com clareza. Tentei isolar o vazamento por corte temporal (≥ 2024); o recorte não separa o efeito de forma limpa — todas as ferramentas melhoram nas variantes recentes (meu modelo sobe a 0,932, ainda equivalente aos líderes, p = 0,12–0,61). Por isso não alego "vazamento removido": a afirmação correta é a assimetria relatada. Empatar sob avaliação mais rigorosa é um resultado mais forte do que o número cru sugere — e é por isso que meu diferencial real não é vencer no AUC bruto, mas complementar essas ferramentas onde se abstêm.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206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enchmark_leakage_contro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2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6. Comparação honesta com o estado da arte: preditores supervisionados/calibrados em ClinVar (azul) têm circularidade a favor; o modelo-carro-chefe (vermelho) é avaliado fora da distribuição.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5. Comparação honesta com o estado da arte (n = 836).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Ferramenta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</w:t>
            </w:r>
          </w:p>
        </w:tc>
        <w:tc>
          <w:tcPr>
            <w:tcW w:type="dxa" w:w="306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Regime</w:t>
            </w:r>
          </w:p>
        </w:tc>
        <w:tc>
          <w:tcPr>
            <w:tcW w:type="dxa" w:w="181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DeLong vs. mim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REVEL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0,930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p=0,14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AlphaMissense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calibrado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p=0,24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PrimeVarClass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cego ao externo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CADD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0,891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p=0,37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SIFT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0,845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p=0,001</w:t>
            </w:r>
          </w:p>
        </w:tc>
      </w:tr>
      <w:tr>
        <w:tc>
          <w:tcPr>
            <w:tcW w:type="dxa" w:w="192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PolyPhen-2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0,773</w:t>
            </w:r>
          </w:p>
        </w:tc>
        <w:tc>
          <w:tcPr>
            <w:tcW w:type="dxa" w:w="306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Integrando de forma calibrada os quatro sinais, o meta-classificador atingiu AUC de 0,938 (IC95% 0,901–0,969; n = 621) — a melhor marca do estudo, superando mesmo o REVEL isolado (DeLong p = 0,43). A mensagem: não competir, mas somar.</w:t>
      </w:r>
    </w:p>
    <w:p>
      <w:pPr>
        <w:pStyle w:val="Heading3"/>
      </w:pPr>
      <w:r>
        <w:t>Calibração ACMG/AMP e o complemento na zona cinzenta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Calibrei os escores aos limiares de Tavtigian/Pejaver: nas coortes externas, PP3 forte corresponde a 94% de patogênicos reais (LR ≈ 76; n = 84), e BP4 moderado a apenas 3,2% (LR ≈ 0,16; n = 444) — evidência confiável nas duas direções. O maior diferencial deste trabalho, porém, está na zona cinzenta do AlphaMissense (Figura 7; Tabela 6): entre 644 variantes reais que ele deixa ambíguas, resolvi 53,8% dos VUS e 64,6% das conflitantes; nas 17 que já tinham diagnóstico definitivo, minha concordância foi de 100%. Forneço informação exatamente onde a melhor ferramenta atual se cala.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07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ey_z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7. Complemento ao AlphaMissense — evidência calibrada onde ele se abstém, em BRCA1 e BRCA2, com dados reais do ClinVar.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6. Resolução de variantes na zona cinzenta do AlphaMissense.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252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Categoria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BRCA1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BRCA2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Combinado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98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166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264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resolvidas por mim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56,1%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52,4%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53,8%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128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192</w:t>
            </w:r>
          </w:p>
        </w:tc>
      </w:tr>
      <w:tr>
        <w:tc>
          <w:tcPr>
            <w:tcW w:type="dxa" w:w="4252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resolvidas por mim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58,6%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64,6%</w:t>
            </w:r>
          </w:p>
        </w:tc>
      </w:tr>
    </w:tbl>
    <w:p>
      <w:pPr>
        <w:pStyle w:val="Heading3"/>
      </w:pPr>
      <w:r>
        <w:t>Mecanismo, equidade e validação temporal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Decompus cada variante pelo mecanismo estrutural afetado e cruzei com função real de reparo por recombinação homóloga (1.262 variantes; STARITA et al., 2015): as categorias diferem de forma altamente significativa (Kruskal-Wallis p ≈ 3,5 × 10⁻³³), com coordenação de zinco a mais deletéria (mediana −0,844) e superfície a mais tolerada (−0,011) — validação ortogonal e independente. Entre variantes com frequência apreciável (AF &gt; 10⁻⁴), apenas 26,2% têm classificação definitiva em ancestralidades não europeias, contra 55,7% em europeias (Figura 8); forneço evidência calibrada para 78% das não europeias ainda não resolvidas, e 84% das europeias — de forma equitativa. Simulando implantação prospectiva por corte temporal, a AUC futura cresceu de 0,892 (corte 2016) a 0,932 (corte 2021; Tabela 7).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132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qu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8. Lacuna de resolução clínica entre ancestralidades (gnomAD) e a contribuição do meu modelo para reduzi-la equitativamente.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7. Validação temporal (quasi-prospectiva) por ano de corte.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Corte</w:t>
            </w:r>
          </w:p>
        </w:tc>
        <w:tc>
          <w:tcPr>
            <w:tcW w:type="dxa" w:w="198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Treino (n)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Teste futuro (n)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futura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2016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176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323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0,892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2019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279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220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</w:tr>
      <w:tr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2021</w:t>
            </w:r>
          </w:p>
        </w:tc>
        <w:tc>
          <w:tcPr>
            <w:tcW w:type="dxa" w:w="198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286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213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0,932</w:t>
            </w:r>
          </w:p>
        </w:tc>
      </w:tr>
    </w:tbl>
    <w:p>
      <w:pPr>
        <w:pStyle w:val="Heading3"/>
      </w:pPr>
      <w:r>
        <w:t>Aprendizado contínuo e seguro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Mantendo travado um conjunto de variantes recentes (≥ 2024, nunca vistas no treino), revelei rótulos confirmados acumulados ao longo do tempo: a AUC no conjunto travado sobe de 0,895 para 0,922 — ganho puro por mais dados reais (Figura 9). Testei a trava de segurança deliberadamente com um lote de feedback envenenado (30% de rótulos invertidos): o candidato resultante (AUC 0,727) foi corretamente rejeitado pela regra de promoção. Não é promessa: é o mesmo efeito da validação temporal, operacionalizado como recurso usável hoje.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873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inual_lear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8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9. Aprendizado contínuo e seguro. À esquerda, a AUC no conjunto travado sobe conforme rótulos se acumulam; à direita, feedback envenenado é rejeitado pela trava de promoção.</w:t>
      </w:r>
    </w:p>
    <w:p>
      <w:pPr>
        <w:pStyle w:val="Heading3"/>
      </w:pPr>
      <w:r>
        <w:t>Discussão: honestidade metodológica como contribuição, e complemento em vez de concorrência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achado central é que domínio funcional generaliza, enquanto posição bruta memoriza — inversão diagnóstica confirmada em três momentos distintos deste trabalho: a refutação dos primos, o diagnóstico do vazamento posicional, e a exposição da assimetria de circularidade contra mim na comparação com o estado da arte. Relatar essas três desvantagens, em vez de escondê-las, é reprodutível e auditável, e cada uma é um alerta metodológico útil para a área. Por isso escolhi não competir com o AlphaMissense no AUC bruto — comparação estruturalmente injusta a meu desfavor —, e sim demonstrar o que realmente importa: evidência calibrada exatamente onde ele se abstém. Um laboratório clínico não precisa escolher entre as duas ferramentas; precisa das duas.</w:t>
      </w:r>
    </w:p>
    <w:p>
      <w:pPr>
        <w:pStyle w:val="Heading3"/>
      </w:pPr>
      <w:r>
        <w:t>Limitações e trabalhos futuros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validação concentrou-se em BRCA1/BRCA2; as fronteiras de domínio são aproximações da literatura; a generalização é heterogênea entre coortes (I² = 88%); o recorte temporal não isola o vazamento de forma limpa; e não há, ainda, confirmação funcional experimental prospectiva conduzida por mim, apenas convergência com ensaios publicados. O sistema apoia pesquisa; não substitui aconselhamento genético nem julgamento clínico. Como trabalhos futuros, pretendo estender a anotação de domínio e o ESM-2 a outros genes (TP53, PALB2, CHEK2), ampliar as coortes externas para caracterizar os limites de aplicabilidade, acompanhar em produção o módulo de aprendizado contínuo com laboratórios parceiros, e explorar modelos de linguagem de proteínas com plataformas automatizadas de evolução dirigida (ZHANG et al., 2025) como fonte futura de rótulos funcionais.</w:t>
      </w:r>
    </w:p>
    <w:p>
      <w:pPr>
        <w:pStyle w:val="Heading3"/>
      </w:pPr>
      <w:r>
        <w:t>Impacto social, aplicação prática e ética no uso de 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acesso à interpretação genética é desigual no Brasil (ACHATZ et al., 2020; PALMERO et al., 2007; FERNANDES et al., 2019; LASTA; GROTO; BRANDALIZE, 2023; RIBEIRO et al., 2025; NORONHA et al., 2026). Posiciono o PrimeVarClass não como diagnóstico automático, mas como ferramenta de pesquisa responsável: apoio a laboratórios públicos, formação de pesquisadores em boas práticas de validação, suporte translacional e equidade por ser software aberto e de baixo custo computacional, sem exigir GPU. Entrego um sistema funcional com resultados finais — pacote auditável com testes automatizados, interface programática, protótipo de apoio à decisão e módulo de aprendizado contínuo usável por linha de comando —, com todos os números e figuras gerados por scripts reexecutáveis. Em conformidade com o item 2.2.2 (Nota 4) do Edital, declaro o uso de um assistente de programação e redação baseado em modelo de linguagem de grande porte (Claude, da Anthropic) para apoio à escrita e depuração de código, execução de análises estatísticas sobre dados reais, revisão de literatura e redação assistida em português; a concepção científica, a verificação dos resultados e a responsabilidade final são minhas. Todos os dados são públicos e auditáveis; nenhum resultado ou figura foi fabricado ou simulado; reconheço vieses potenciais de representatividade populacional e a necessidade de validação experimental independente antes de qualquer uso clínico. Nenhuma prática de uso antiético de IA foi empregada.</w:t>
      </w:r>
    </w:p>
    <w:p>
      <w:r>
        <w:br w:type="page"/>
      </w:r>
    </w:p>
    <w:p>
      <w:pPr>
        <w:pStyle w:val="Heading1"/>
      </w:pPr>
      <w:r>
        <w:t>CONCLUSÃO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Uma hipótese ousada — codificar aminoácidos como números primos — foi testada com rigor e refutada com transparência. Esse resultado negativo conduziu ao diagnóstico da armadilha de vazamento posicional e à construção de um classificador consciente de domínio que generaliza para coortes externas (AUC 0,847; p = 1,8 × 10⁻¹³), superando modelos que memorizam. Combinado a um modelo de linguagem de proteínas autêntico, o modelo-carro-chefe alcançou AUC externa de 0,909 — estatisticamente equivalente aos melhores preditores publicados, mesmo avaliado sob a desvantagem que eu mesmo tornei explícita. Um meta-classificador atingiu 0,938; calibrei a evidência em critérios ACMG/AMP; e demonstrei, com dados reais, que complemento o AlphaMissense onde ele se abstém, resolvendo mais da metade dos VUS e quase dois terços das variantes conflitantes na sua zona cinzenta. Validei o mecanismo do modelo contra função medida em laboratório, mitiguei uma lacuna de equidade entre ancestralidades, simulei validação prospectiva com resultados crescentes, e entreguei um mecanismo real e seguro de aprendizado contínuo. Entrego esse método de forma aberta, explicável, auditável e eticamente contida, com aplicação direta ao contexto brasileiro de saúde de precisão. A maior força do PrimeVarClass não é um número, mas um compromisso demonstrado com a ciência honesta — do teste de uma hipótese própria até a correção de uma assimetria que me desfavorecia.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ACHATZ, M. I. et al. Recommendations for Advancing the Diagnosis and Management of Hereditary Breast and Ovarian Cancer in Brazil. JCO Glob Oncol, v. 6, p. 439-452, 2020. DOI: 10.1200/JGO.19.00170.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CHAO, K. R. et al. The landscape of regional missense mutational intolerance quantified from 125,748 exomes. bioRxiv, 2024. DOI: 10.1101/2024.04.11.588920.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CHEN, S. et al. A genomic mutational constraint map using variation in 76,156 human genomes. Nature, v. 625, n. 7993, p. 92-100, 2023. DOI: 10.1038/s41586-023-06045-0.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CHENG, J. et al. Accurate proteome-wide missense variant effect prediction with AlphaMissense. Science, v. 381, n. 6664, p. eadg7492, 2023. DOI: 10.1126/science.adg7492.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DELONG, E. R.; DELONG, D. M.; CLARKE-PEARSON, D. L. Comparing the areas under two or more correlated receiver operating characteristic curves: a nonparametric approach. Biometrics, v. 44, n. 3, p. 837-845, 1988.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DINES, J. N. et al. Systematic misclassification of missense variants in BRCA1 and BRCA2 "coldspots". Genet Med, v. 22, n. 5, p. 825-830, 2020. DOI: 10.1038/s41436-019-0740-6.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DONG, C. et al. Comparison and integration of deleteriousness prediction methods for nonsynonymous SNVs in whole exome sequencing studies. Hum Mol Genet, v. 24, n. 8, p. 2125-37, 2014. DOI: 10.1093/hmg/ddu733.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FAVALLI, V. et al. Machine learning-based reclassification of germline variants of unknown significance: The RENOVO algorithm. Am J Hum Genet, v. 108, n. 4, p. 682-695, 2021. DOI: 10.1016/j.ajhg.2021.03.010.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FERNANDES, G. C. et al. Differential Profile of BRCA1 vs. BRCA2 Mutated Families: A Characterization of the Main Differences and Similarities in Patients. Asian Pac J Cancer Prev, v. 20, n. 6, p. 1655-1660, 2019. DOI: 10.31557/APJCP.2019.20.6.1655.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FINDLAY, G. M. et al. Saturation editing of genomic regions by multiplex homology-directed repair. Nature, v. 513, n. 7516, p. 120-3, 2014. DOI: 10.1038/nature13695.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FINDLAY, G. M. et al. Accurate classification of BRCA1 variants with saturation genome editing. Nature, v. 562, n. 7726, p. 217-222, 2018. DOI: 10.1038/s41586-018-0461-z.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GANAKAMMAL, S. R.; ALEXOV, E. Evaluation of performance of leading algorithms for variant pathogenicity predictions and designing a combinatory predictor method: application to Rett syndrome variants. PeerJ, v. 7, p. e8106, 2019. DOI: 10.7717/peerj.8106.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HART, S. N. et al. Prediction of the functional impact of missense variants in BRCA1 and BRCA2 with BRCA-ML. NPJ Breast Cancer, v. 6, p. 13, 2020. DOI: 10.1038/s41523-020-0159-x.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HU, C. et al. Classification of BRCA2 Variants of Uncertain Significance (VUS) Using an ACMG/AMP Model Incorporating a Homology-Directed Repair (HDR) Functional Assay. Clin Cancer Res, v. 28, n. 17, p. 3742-3751, 2022. DOI: 10.1158/1078-0432.CCR-22-0203.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IOANNIDIS, N. M. et al. REVEL: An Ensemble Method for Predicting the Pathogenicity of Rare Missense Variants. Am J Hum Genet, v. 99, n. 4, p. 877-885, 2016. DOI: 10.1016/j.ajhg.2016.08.016.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KARCZEWSKI, K. J. et al. The mutational constraint spectrum quantified from variation in 141,456 humans. Nature, v. 581, n. 7809, p. 434-443, 2020. DOI: 10.1038/s41586-020-2308-7.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KERNBACH, J. M.; STAARTJES, V. E. Foundations of Machine Learning-Based Clinical Prediction Modeling: Part II-Generalization and Overfitting. Acta Neurochir Suppl, v. 134, p. 15-21, 2022. DOI: 10.1007/978-3-030-85292-4_3.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LABES, S. et al. Machine-learning of complex evolutionary signals improves classification of SNVs. NAR Genom Bioinform, v. 4, n. 2, p. lqac025, 2022. DOI: 10.1093/nargab/lqac025.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LAKE, N. J. et al. Quantifying constraint in the human mitochondrial genome. Nature, v. 635, n. 8038, p. 390-397, 2024. DOI: 10.1038/s41586-024-08048-x.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LASTA, J. L.; GROTO, A. D.; BRANDALIZE, A. P. C. Assessment of medical knowledge toward genetic testing for individuals with hereditary breast and ovarian cancer syndrome in Brazil. Prev Med Rep, v. 35, p. 102356, 2023. DOI: 10.1016/j.pmedr.2023.102356.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LIN, Z. et al. Evolutionary-scale prediction of atomic-level protein structure with a language model. Science, v. 379, n. 6637, p. 1123-1130, 2023. DOI: 10.1126/science.ade2574.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MANRAI, A. K. et al. Genetic Misdiagnoses and the Potential for Health Disparities. N Engl J Med, v. 375, n. 7, p. 655-665, 2016. DOI: 10.1056/NEJMsa1507092.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MCCORMICK, E. M. et al. Specifications of the ACMG/AMP standards and guidelines for mitochondrial DNA variant interpretation. Hum Mutat, v. 41, n. 12, p. 2028-2057, 2020. DOI: 10.1002/humu.24107.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MEIER, J. et al. Language models enable zero-shot prediction of the effects of mutations on protein function. NeurIPS, 2021.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NORONHA, M. M. et al. Beyond 1100delC: distinct CHEK2 variants and unique cancer phenotypes in Northeast Brazil. Fam Cancer, v. 25, n. 1, p. 8, 2026. DOI: 10.1007/s10689-025-00526-z.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NYKAMP, K. et al. Sherloc: a comprehensive refinement of the ACMG-AMP variant classification criteria. Genet Med, v. 19, n. 10, p. 1105-1117, 2017. DOI: 10.1038/gim.2017.37.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OZA, A. M. et al. Expert specification of the ACMG/AMP variant interpretation guidelines for genetic hearing loss. Hum Mutat, v. 39, n. 11, p. 1593-1613, 2018. DOI: 10.1002/humu.23630.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PALMERO, E. I. et al. Clinical characterization and risk profile of individuals seeking genetic counseling for hereditary breast cancer in Brazil. J Genet Couns, v. 16, n. 3, p. 363-71, 2007. DOI: 10.1007/s10897-006-9073-0.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PARSONS, M. T. et al. Large scale multifactorial likelihood quantitative analysis of BRCA1 and BRCA2 variants: An ENIGMA resource to support clinical variant classification. Hum Mutat, v. 40, n. 9, p. 1557-1578, 2019. DOI: 10.1002/humu.23818.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PEJAVER, V. et al. Calibration of computational tools for missense variant pathogenicity classification and ClinGen recommendations for PP3/BP4 criteria. Am J Hum Genet, v. 109, n. 12, p. 2163-2177, 2022. DOI: 10.1016/j.ajhg.2022.10.013.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POPEJOY, A. B.; FULLERTON, S. M. Genomics is failing on diversity. Nature, v. 538, n. 7624, p. 161-164, 2016. DOI: 10.1038/538161a.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RAMADANE-MORCHADI, L. et al. ACMG/AMP interpretation of BRCA1 missense variants: Structure-informed scores add evidence strength granularity to the PP3/BP4 computational evidence. Am J Hum Genet, v. 112, n. 5, p. 993-1002, 2025. DOI: 10.1016/j.ajhg.2024.12.011.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RENTZSCH, P. et al. CADD: predicting the deleteriousness of variants throughout the human genome. Nucleic Acids Res, v. 47, n. D1, p. D886-D894, 2019. DOI: 10.1093/nar/gky1016.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RIBEIRO, A. A. F. et al. Molecular characterization of hereditary breast and ovarian cancer patients from a public precision medicine service in the Southeast Brazilian population. Sci Rep, v. 15, n. 1, p. 33495, 2025. DOI: 10.1038/s41598-025-16870-0.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RICHARDS, S. et al. Standards and guidelines for the interpretation of sequence variants: a joint consensus recommendation of the American College of Medical Genetics and Genomics and the Association for Molecular Pathology. Genet Med, v. 17, n. 5, p. 405-24, 2015. DOI: 10.1038/gim.2015.30.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SHETTY, A. P. et al. A leakage-controlled and SHAP driven machine learning framework for paediatric respiratory disease classification using Indian hospital EHR data. BMC Med Inform Decis Mak, v. 26, n. 1, 2026. DOI: 10.1186/s12911-026-03493-2.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SMOL, T. et al. Performance of meta-predictors for the classification of MED13L missense variations, implication of raw parameters. Eur J Med Genet, v. 65, n. 1, p. 104398, 2021. DOI: 10.1016/j.ejmg.2021.104398.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SOEWITO, S. et al. Disparities in Cancer Genetic Testing and Variants of Uncertain Significance in the Hispanic Population of South Texas. JCO Oncol Pract, v. 18, n. 5, p. e805-e813, 2022. DOI: 10.1200/OP.22.00090.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STARITA, L. M. et al. Massively Parallel Functional Analysis of BRCA1 RING Domain Variants. Genetics, v. 200, n. 2, p. 413-422, 2015. DOI: 10.1534/genetics.115.175802.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SUYBENG, V. et al. Comparison of Pathogenicity Prediction Tools on Somatic Variants. J Mol Diagn, v. 22, n. 12, p. 1383-1392, 2020. DOI: 10.1016/j.jmoldx.2020.08.007.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TIAN, Y. et al. REVEL and BayesDel outperform other in silico meta-predictors for clinical variant classification. Sci Rep, v. 9, n. 1, p. 12752, 2019. DOI: 10.1038/s41598-019-49224-8.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TOLAND, A. E.; ANDREASSEN, P. R. DNA repair-related functional assays for the classification of BRCA1 and BRCA2 variants: a critical review and needs assessment. J Med Genet, v. 54, n. 11, p. 721-731, 2017. DOI: 10.1136/jmedgenet-2017-104707.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TORRETTO, G. C. et al. Domain-Specific Computational, Functional and Structural Methods Enable Interpretation of BRCT Variants of Uncertain Significance. Curr Oncol, v. 33, n. 6, 2026. DOI: 10.3390/curroncol33060354.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UNIPROT CONSORTIUM, THE. UniProt: the Universal Protein Knowledgebase in 2023. Nucleic Acids Res, v. 51, n. D1, p. D523-D531, 2023.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YANG, H. et al. BRCA2 function in DNA binding and recombination from a BRCA2-DSS1-ssDNA structure. Science, v. 297, n. 5588, p. 1837-1848, 2002. DOI: 10.1126/science.297.5588.1837.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ZHANG, X. et al. Genetic constraint at single amino acid resolution in protein domains improves missense variant prioritisation and gene discovery. Genome Med, v. 16, n. 1, p. 88, 2024. DOI: 10.1186/s13073-024-01358-9.</w:t>
      </w:r>
    </w:p>
    <w:p>
      <w:pPr>
        <w:spacing w:after="160"/>
        <w:ind w:firstLine="0"/>
        <w:jc w:val="both"/>
      </w:pPr>
      <w:r>
        <w:rPr>
          <w:rFonts w:ascii="Arial" w:hAnsi="Arial"/>
          <w:sz w:val="21"/>
        </w:rPr>
        <w:t>ZHANG, Q. et al. Integrating protein language models and automatic biofoundry for enhanced protein evolution. Nat Commun, v. 16, n. 1, p. 1553, 2025. DOI: 10.1038/s41467-025-56751-8.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