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Wesley Felipe Capucho,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Escola de Engenharia de Lorena, Universidade de São Paulo (EEL-USP),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(de 0,791 para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superando o modelo com posição bruta (0,791; p = 1,8 × 10⁻¹³). Combinado a um modelo de linguagem de proteínas (ESM-2), o modelo-carro-chefe (a versão final e completa do sistema, domínio funcional mais linguagem proteica) atingiu AUC externa de 0,909, estatisticamente equivalente aos melhores preditores publicados: AlphaMissense (0,926; p = 0,24), REVEL (0,930; p = 0,14) e CADD (0,891; p = 0,37),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264 VUS e 192 conflitantes), o modelo forneceu chamada de evidência calibrada para 53,8% dos VUS e 64,6% das conflitantes (concordância de 100% no subconjunto verificável);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com dados reais do ClinVar, para o TP53, von Hippel-Lindau, Lynch e MEN2 (AUC 0,75–0,97). O sistema é entregue como plataforma aberta, auditável e reprodutível. A contribuição central não é um número inflado, mas um método rigoroso,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064582"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064582"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Ainda assim, muitas variantes permanecem classificadas como de significado incerto (VUS),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inclusive com escores informados por estrutura em BRCA1 (RAMADANE-MORCHADI et al., 2025), o que corrobora a abordagem consciente de domínio aqui desenvolvida. Existe, porém, uma assimetria raramente discutida: REVEL e CADD são treinados, e o AlphaMissense é calibrado,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4. Comparar esse modelo, de forma rigorosa,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identidade com posição (4), identidade sem posição (3), bioquímico com posição (28), híbrido bioquímico + primos (76) e apenas primos (50),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o que evita seleção circular de regiões. Definiram-se functional_domain e in_critical_domain: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(0,905 vs. 0,909), resultado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Comparação com o estado da arte,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ᵃ Incluem gene e posição bruta;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A diferença é uma tendência não significativa na CV interna (p = 0,081), mas significativa na generalização externa (p = 0,045), e adicionar primos a um modelo bioquímico piora o desempenho externo (p &lt; 0,0001). A conclusão é direta: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Sob validação ingênua (sem bloqueio por grupo), a identidade combinada à posição bruta chega a AUC próxima de 0,90, valor inflado, pois variantes da mesma posição compartilham rótulo e aparecem em treino e teste simultaneamente. Esse é o alerta metodológico central: benchmarks que não bloqueiam a posição superestimam o desempenho,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três no sítio de zinco (Cys39Gly, Cys64Gly, Cys61Tyr) e três no núcleo do BRCT (Met1689Arg, Leu1705Pro, Trp1837Cys),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(o núcleo funcional de cada domínio)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(o núcleo funcional de cada domínio)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200425"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200425"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ressalva importante: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desempenho que não se explica pela distribuição de classes. Examinado coorte a coorte (Tabela 5), o modelo-carro-chefe atinge 0,968 e 0,953 nas duas coortes de painel especialista (onde os rótulos têm máxima confiança)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Vazamento a favor de terceiros: a comparação criteriosa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e o AlphaMissense é calibrado,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(robusta ao desbalanceamento; base trivial 0,172),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mesmo a única ferramenta sem circularidade não o supera. Tentou-se isolar o vazamento por corte temporal (≥ 2024); o recorte não separa o efeito de forma limpa: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criteriosa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Tabela 6. Comparação criteriosa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n/a</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a melhor marca do estudo, superando mesmo o REVEL isolado (DeLong p = 0,43). Como esse meta-modelo inclui os preditores de terceiros, herda em parte a circularidade discutida acima; o que importa, porém, é o peso que ele atribui ao PrimeVarClass: 0,60 no modelo logístico (comparável a REVEL, 0,59, e CADD, 0,49, e não nulo),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evidência confiável nas duas direções. O maior diferencial deste trabalho, porém, está na zona cinzenta do AlphaMissense (Figura 7; Tabela 7): entre 644 variantes reais que ele deixa ambíguas: 264 VUS e 192 conflitantes (Tabela 7),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5384183"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84183"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(treinada apenas em rótulos clínicos)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(BRCA1: 0,651, apenas 21 positivos ruidosos; e BRCA2: 0,800)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(da coordenação de zinco à superfície)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218587"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218587"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256710"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256710"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Com um conjunto de variantes recentes mantido travado (≥ 2024, nunca vistas no treino), rótulos confirmados foram revelados de forma acumulada ao longo do tempo: a AUC no conjunto travado sobe de 0,895 para 0,922,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286512"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86512"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entre 2023 e 2026 (Figura 11A): a partir de um snapshot histórico do ClinVar (junho/2023), foram identificadas 56 variantes de BRCA1/BRCA2 que eram VUS ou conflitantes em 2023 e só foram resolvidas a patogênicas/benignas até 2026. Um modelo treinado apenas no que era definitivo em 2023 (portanto cego a essas variantes)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(que nenhuma ferramenta pôde ter visto)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5957348"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57348"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os dois componentes são complementares de modo dependente do gene. Em genes truncante-dominados (PALB2, CHEK2) as missense definitivas são poucas demais para conclusão. Com rótulos reais do ClinVar, a receita completa generalizou ainda para von Hippel-Lindau (VHL 0,97), Lynch (MSH2 0,93; MLH1 0,75; MSH6 0,81) e MEN2 (RET 0,81); o ESM-2 como o sinal transferível que eleva todos os genes (Figura S12b). Num serviço público de oncogenética de Minas Gerais, as VUS de 210 pacientes do SUS concentraram-se justamente no ATM (7/35; RIBEIRO et al., 2025),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Discussão: rigor metodológico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e cada uma delas funciona como um alerta metodológico útil para a área. A própria refutação dos primos funciona como controle negativo interno: o protocolo que atribui p = 1,8 × 10⁻¹³ ao sinal de domínio rejeita o dos primos: prova de que não valida qualquer característica indiscriminadamente. Somam-se dois pontos de rigor: os hiperparâmetros foram fixados a priori, sem ajuste nas coortes de teste; e as afirmações centrais (p entre 10⁻⁸ e 10⁻¹³) sobrevivem à correção de Bonferroni/FDR, só a comparação marginal primos-vs-identidade (p = 0,045) não, sendo por isso tratada como apoio, não decisão. Por isso o diferencial não está no AUC bruto (comparação estruturalmente injusta),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(com dados reais do ClinVar)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(usando os próprios mapas funcionais como rótulos),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O acesso à interpretação genética é desigual no Brasil (ACHATZ et al., 2020; PALMERO et al., 2007; FERNANDES et al., 2019; LASTA; GROTO; BRANDALIZE, 2023; RIBEIRO et al., 2025; NORONHA et al., 2026). É exatamente nesse ponto de convergência entre inteligência artificial e saúde (eixo temático desta edição do Prêmio Jovem Cientista, dedicada à "Inteligência Artificial para o Bem Comum")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(pacote auditável com testes automatizados, interface programática, protótipo de apoio à decisão e módulo de aprendizado contínuo usável por linha de comando),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(codificar aminoácidos como números primos)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com dados reais, para o TP53, von Hippel-Lindau, Lynch e MEN2, muito além do escopo original. Esse método é entregue de forma aberta, explicável, auditável e eticamente contida, com aplicação direta ao contexto brasileiro de saúde de precisão. A maior força do PrimeVarClass não é um número, mas um compromisso demonstrado com o rigor científico: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