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0,849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Sustenta-se que essa trajetória — hipótese ousada, teste rigoroso, refutação transparente, redirecionamento para o que funciona — é, em si, contribuição científica tão valiosa quanto qualquer resultado positivo isolado,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domínio de ligação ao DNA como Gly2748Asp, Arg3052Trp e Trp2626Cys, detectadas com 75,3% a 96,7%; painel individual no Material Suplementar), confirmou que a abordagem generaliza entre genes. A superfície molecular completa dos dois domínios, colorida por intensidade de detecção (Figura 5), torna essa generalização visível: as mesmas zonas de risco — o núcleo funcional de cada domínio — emergem, de forma independente, em BRCA1 (BRCT) e BRCA2 (DBD). Não se trata de um sinal ajustado a um único gene, mas de uma assinatura estrutural comum ao papel dessas proteínas no reparo do DNA.</w:t>
      </w:r>
    </w:p>
    <w:p>
      <w:pPr>
        <w:spacing w:before="200"/>
        <w:ind w:firstLine="0"/>
        <w:jc w:val="center"/>
      </w:pPr>
      <w:r>
        <w:drawing>
          <wp:inline xmlns:a="http://schemas.openxmlformats.org/drawingml/2006/main" xmlns:pic="http://schemas.openxmlformats.org/drawingml/2006/picture">
            <wp:extent cx="4937760" cy="3414885"/>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937760" cy="3414885"/>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Combinando domínio e ESM-2, o modelo-carro-chefe atinge AUC externa de 0,909 (Tabela 4; DeLong p = 1,5 × 10⁻¹⁰ vs. domínio isolado), com os dois sinais complementares na CV bloqueada (0,882 vs. 0,818 e 0,867 isolados).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5120640" cy="2620685"/>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5120640" cy="2620685"/>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(n = 836).</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tcBorders>
              <w:top w:val="single" w:sz="10" w:color="000000"/>
              <w:bottom w:val="single" w:sz="10" w:color="000000"/>
            </w:tcBorders>
          </w:tcPr>
          <w:p>
            <w:pPr>
              <w:ind w:firstLine="0"/>
              <w:jc w:val="center"/>
            </w:pPr>
            <w:r>
              <w:rPr>
                <w:rFonts w:ascii="Arial" w:hAnsi="Arial"/>
                <w:b/>
                <w:sz w:val="21"/>
              </w:rPr>
              <w:t>Ferramenta</w:t>
            </w:r>
          </w:p>
        </w:tc>
        <w:tc>
          <w:tcPr>
            <w:tcW w:type="dxa" w:w="1077"/>
            <w:tcBorders>
              <w:top w:val="single" w:sz="10" w:color="000000"/>
              <w:bottom w:val="single" w:sz="10" w:color="000000"/>
            </w:tcBorders>
          </w:tcPr>
          <w:p>
            <w:pPr>
              <w:ind w:firstLine="0"/>
              <w:jc w:val="center"/>
            </w:pPr>
            <w:r>
              <w:rPr>
                <w:rFonts w:ascii="Arial" w:hAnsi="Arial"/>
                <w:b/>
                <w:sz w:val="21"/>
              </w:rPr>
              <w:t>AUC</w:t>
            </w:r>
          </w:p>
        </w:tc>
        <w:tc>
          <w:tcPr>
            <w:tcW w:type="dxa" w:w="3061"/>
            <w:tcBorders>
              <w:top w:val="single" w:sz="10" w:color="000000"/>
              <w:bottom w:val="single" w:sz="10" w:color="000000"/>
            </w:tcBorders>
          </w:tcPr>
          <w:p>
            <w:pPr>
              <w:ind w:firstLine="0"/>
              <w:jc w:val="center"/>
            </w:pPr>
            <w:r>
              <w:rPr>
                <w:rFonts w:ascii="Arial" w:hAnsi="Arial"/>
                <w:b/>
                <w:sz w:val="21"/>
              </w:rPr>
              <w:t>Regime</w:t>
            </w:r>
          </w:p>
        </w:tc>
        <w:tc>
          <w:tcPr>
            <w:tcW w:type="dxa" w:w="1814"/>
            <w:tcBorders>
              <w:top w:val="single" w:sz="10" w:color="000000"/>
              <w:bottom w:val="single" w:sz="10" w:color="000000"/>
            </w:tcBorders>
          </w:tcPr>
          <w:p>
            <w:pPr>
              <w:ind w:firstLine="0"/>
              <w:jc w:val="center"/>
            </w:pPr>
            <w:r>
              <w:rPr>
                <w:rFonts w:ascii="Arial" w:hAnsi="Arial"/>
                <w:b/>
                <w:sz w:val="21"/>
              </w:rPr>
              <w:t>DeLong vs. modelo</w:t>
            </w:r>
          </w:p>
        </w:tc>
      </w:tr>
      <w:tr>
        <w:trPr>
          <w:cantSplit/>
        </w:trPr>
        <w:tc>
          <w:tcPr>
            <w:tcW w:type="dxa" w:w="1928"/>
          </w:tcPr>
          <w:p>
            <w:pPr>
              <w:ind w:firstLine="0"/>
              <w:jc w:val="left"/>
            </w:pPr>
            <w:r>
              <w:rPr>
                <w:rFonts w:ascii="Arial" w:hAnsi="Arial"/>
                <w:sz w:val="21"/>
              </w:rPr>
              <w:t>REVEL</w:t>
            </w:r>
          </w:p>
        </w:tc>
        <w:tc>
          <w:tcPr>
            <w:tcW w:type="dxa" w:w="1077"/>
          </w:tcPr>
          <w:p>
            <w:pPr>
              <w:ind w:firstLine="0"/>
              <w:jc w:val="center"/>
            </w:pPr>
            <w:r>
              <w:rPr>
                <w:rFonts w:ascii="Arial" w:hAnsi="Arial"/>
                <w:sz w:val="21"/>
              </w:rPr>
              <w:t>0,930</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p=0,14 (n.s.)</w:t>
            </w:r>
          </w:p>
        </w:tc>
      </w:tr>
      <w:tr>
        <w:trPr>
          <w:cantSplit/>
        </w:trPr>
        <w:tc>
          <w:tcPr>
            <w:tcW w:type="dxa" w:w="1928"/>
          </w:tcPr>
          <w:p>
            <w:pPr>
              <w:ind w:firstLine="0"/>
              <w:jc w:val="left"/>
            </w:pPr>
            <w:r>
              <w:rPr>
                <w:rFonts w:ascii="Arial" w:hAnsi="Arial"/>
                <w:sz w:val="21"/>
              </w:rPr>
              <w:t>AlphaMissense</w:t>
            </w:r>
          </w:p>
        </w:tc>
        <w:tc>
          <w:tcPr>
            <w:tcW w:type="dxa" w:w="1077"/>
          </w:tcPr>
          <w:p>
            <w:pPr>
              <w:ind w:firstLine="0"/>
              <w:jc w:val="center"/>
            </w:pPr>
            <w:r>
              <w:rPr>
                <w:rFonts w:ascii="Arial" w:hAnsi="Arial"/>
                <w:sz w:val="21"/>
              </w:rPr>
              <w:t>0,926</w:t>
            </w:r>
          </w:p>
        </w:tc>
        <w:tc>
          <w:tcPr>
            <w:tcW w:type="dxa" w:w="3061"/>
          </w:tcPr>
          <w:p>
            <w:pPr>
              <w:ind w:firstLine="0"/>
              <w:jc w:val="center"/>
            </w:pPr>
            <w:r>
              <w:rPr>
                <w:rFonts w:ascii="Arial" w:hAnsi="Arial"/>
                <w:sz w:val="21"/>
              </w:rPr>
              <w:t>calibrado em ClinVar</w:t>
            </w:r>
          </w:p>
        </w:tc>
        <w:tc>
          <w:tcPr>
            <w:tcW w:type="dxa" w:w="1814"/>
          </w:tcPr>
          <w:p>
            <w:pPr>
              <w:ind w:firstLine="0"/>
              <w:jc w:val="center"/>
            </w:pPr>
            <w:r>
              <w:rPr>
                <w:rFonts w:ascii="Arial" w:hAnsi="Arial"/>
                <w:sz w:val="21"/>
              </w:rPr>
              <w:t>p=0,24 (n.s.)</w:t>
            </w:r>
          </w:p>
        </w:tc>
      </w:tr>
      <w:tr>
        <w:trPr>
          <w:cantSplit/>
        </w:trPr>
        <w:tc>
          <w:tcPr>
            <w:tcW w:type="dxa" w:w="1928"/>
          </w:tcPr>
          <w:p>
            <w:pPr>
              <w:ind w:firstLine="0"/>
              <w:jc w:val="left"/>
            </w:pPr>
            <w:r>
              <w:rPr>
                <w:rFonts w:ascii="Arial" w:hAnsi="Arial"/>
                <w:sz w:val="21"/>
              </w:rPr>
              <w:t>PrimeVarClass</w:t>
            </w:r>
          </w:p>
        </w:tc>
        <w:tc>
          <w:tcPr>
            <w:tcW w:type="dxa" w:w="1077"/>
          </w:tcPr>
          <w:p>
            <w:pPr>
              <w:ind w:firstLine="0"/>
              <w:jc w:val="center"/>
            </w:pPr>
            <w:r>
              <w:rPr>
                <w:rFonts w:ascii="Arial" w:hAnsi="Arial"/>
                <w:sz w:val="21"/>
              </w:rPr>
              <w:t>0,909</w:t>
            </w:r>
          </w:p>
        </w:tc>
        <w:tc>
          <w:tcPr>
            <w:tcW w:type="dxa" w:w="3061"/>
          </w:tcPr>
          <w:p>
            <w:pPr>
              <w:ind w:firstLine="0"/>
              <w:jc w:val="center"/>
            </w:pPr>
            <w:r>
              <w:rPr>
                <w:rFonts w:ascii="Arial" w:hAnsi="Arial"/>
                <w:sz w:val="21"/>
              </w:rPr>
              <w:t>cego ao externo</w:t>
            </w:r>
          </w:p>
        </w:tc>
        <w:tc>
          <w:tcPr>
            <w:tcW w:type="dxa" w:w="1814"/>
          </w:tcPr>
          <w:p>
            <w:pPr>
              <w:ind w:firstLine="0"/>
              <w:jc w:val="center"/>
            </w:pPr>
            <w:r>
              <w:rPr>
                <w:rFonts w:ascii="Arial" w:hAnsi="Arial"/>
                <w:sz w:val="21"/>
              </w:rPr>
              <w:t>—</w:t>
            </w:r>
          </w:p>
        </w:tc>
      </w:tr>
      <w:tr>
        <w:trPr>
          <w:cantSplit/>
        </w:trPr>
        <w:tc>
          <w:tcPr>
            <w:tcW w:type="dxa" w:w="1928"/>
          </w:tcPr>
          <w:p>
            <w:pPr>
              <w:ind w:firstLine="0"/>
              <w:jc w:val="left"/>
            </w:pPr>
            <w:r>
              <w:rPr>
                <w:rFonts w:ascii="Arial" w:hAnsi="Arial"/>
                <w:sz w:val="21"/>
              </w:rPr>
              <w:t>CADD</w:t>
            </w:r>
          </w:p>
        </w:tc>
        <w:tc>
          <w:tcPr>
            <w:tcW w:type="dxa" w:w="1077"/>
          </w:tcPr>
          <w:p>
            <w:pPr>
              <w:ind w:firstLine="0"/>
              <w:jc w:val="center"/>
            </w:pPr>
            <w:r>
              <w:rPr>
                <w:rFonts w:ascii="Arial" w:hAnsi="Arial"/>
                <w:sz w:val="21"/>
              </w:rPr>
              <w:t>0,891</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p=0,37 (n.s.)</w:t>
            </w:r>
          </w:p>
        </w:tc>
      </w:tr>
      <w:tr>
        <w:trPr>
          <w:cantSplit/>
        </w:trPr>
        <w:tc>
          <w:tcPr>
            <w:tcW w:type="dxa" w:w="1928"/>
          </w:tcPr>
          <w:p>
            <w:pPr>
              <w:ind w:firstLine="0"/>
              <w:jc w:val="left"/>
            </w:pPr>
            <w:r>
              <w:rPr>
                <w:rFonts w:ascii="Arial" w:hAnsi="Arial"/>
                <w:sz w:val="21"/>
              </w:rPr>
              <w:t>SIFT</w:t>
            </w:r>
          </w:p>
        </w:tc>
        <w:tc>
          <w:tcPr>
            <w:tcW w:type="dxa" w:w="1077"/>
          </w:tcPr>
          <w:p>
            <w:pPr>
              <w:ind w:firstLine="0"/>
              <w:jc w:val="center"/>
            </w:pPr>
            <w:r>
              <w:rPr>
                <w:rFonts w:ascii="Arial" w:hAnsi="Arial"/>
                <w:sz w:val="21"/>
              </w:rPr>
              <w:t>0,845</w:t>
            </w:r>
          </w:p>
        </w:tc>
        <w:tc>
          <w:tcPr>
            <w:tcW w:type="dxa" w:w="3061"/>
          </w:tcPr>
          <w:p>
            <w:pPr>
              <w:ind w:firstLine="0"/>
              <w:jc w:val="center"/>
            </w:pPr>
            <w:r>
              <w:rPr>
                <w:rFonts w:ascii="Arial" w:hAnsi="Arial"/>
                <w:sz w:val="21"/>
              </w:rPr>
              <w:t>não supervisionado</w:t>
            </w:r>
          </w:p>
        </w:tc>
        <w:tc>
          <w:tcPr>
            <w:tcW w:type="dxa" w:w="1814"/>
          </w:tcPr>
          <w:p>
            <w:pPr>
              <w:ind w:firstLine="0"/>
              <w:jc w:val="center"/>
            </w:pPr>
            <w:r>
              <w:rPr>
                <w:rFonts w:ascii="Arial" w:hAnsi="Arial"/>
                <w:sz w:val="21"/>
              </w:rPr>
              <w:t>p=0,001</w:t>
            </w:r>
          </w:p>
        </w:tc>
      </w:tr>
      <w:tr>
        <w:trPr>
          <w:cantSplit/>
        </w:trPr>
        <w:tc>
          <w:tcPr>
            <w:tcW w:type="dxa" w:w="1928"/>
            <w:tcBorders>
              <w:bottom w:val="single" w:sz="10" w:color="000000"/>
            </w:tcBorders>
          </w:tcPr>
          <w:p>
            <w:pPr>
              <w:ind w:firstLine="0"/>
              <w:jc w:val="left"/>
            </w:pPr>
            <w:r>
              <w:rPr>
                <w:rFonts w:ascii="Arial" w:hAnsi="Arial"/>
                <w:sz w:val="21"/>
              </w:rPr>
              <w:t>PolyPhen-2</w:t>
            </w:r>
          </w:p>
        </w:tc>
        <w:tc>
          <w:tcPr>
            <w:tcW w:type="dxa" w:w="1077"/>
            <w:tcBorders>
              <w:bottom w:val="single" w:sz="10" w:color="000000"/>
            </w:tcBorders>
          </w:tcPr>
          <w:p>
            <w:pPr>
              <w:ind w:firstLine="0"/>
              <w:jc w:val="center"/>
            </w:pPr>
            <w:r>
              <w:rPr>
                <w:rFonts w:ascii="Arial" w:hAnsi="Arial"/>
                <w:sz w:val="21"/>
              </w:rPr>
              <w:t>0,773</w:t>
            </w:r>
          </w:p>
        </w:tc>
        <w:tc>
          <w:tcPr>
            <w:tcW w:type="dxa" w:w="3061"/>
            <w:tcBorders>
              <w:bottom w:val="single" w:sz="10" w:color="000000"/>
            </w:tcBorders>
          </w:tcPr>
          <w:p>
            <w:pPr>
              <w:ind w:firstLine="0"/>
              <w:jc w:val="center"/>
            </w:pPr>
            <w:r>
              <w:rPr>
                <w:rFonts w:ascii="Arial" w:hAnsi="Arial"/>
                <w:sz w:val="21"/>
              </w:rPr>
              <w:t>não supervisionado</w:t>
            </w:r>
          </w:p>
        </w:tc>
        <w:tc>
          <w:tcPr>
            <w:tcW w:type="dxa" w:w="1814"/>
            <w:tcBorders>
              <w:bottom w:val="single" w:sz="10" w:color="000000"/>
            </w:tcBorders>
          </w:tcPr>
          <w:p>
            <w:pPr>
              <w:ind w:firstLine="0"/>
              <w:jc w:val="center"/>
            </w:pPr>
            <w:r>
              <w:rPr>
                <w:rFonts w:ascii="Arial" w:hAnsi="Arial"/>
                <w:sz w:val="21"/>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por deep mutational scanning, independente do ClinVar: no mesmo ensaio de recombinação homóloga, a probabilidade separa variantes com e sem perda de função com AUC de 0,712 em 2.749 variantes. Trata-se de uma validação ortogonal contra fenótipo molecular medido em bancada, e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846320" cy="2705160"/>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846320" cy="2705160"/>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(Tabela 9). A mais decisiva é uma validação genuinamente prospectiva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754880" cy="1957109"/>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754880" cy="1957109"/>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0,849 (+ESM-2), reproduzindo em gene novo o ganho de BRCA. A fronteira é delimitada com honestidade — em genes de patogenicidade truncante (PALB2, CHEK2) ou difusa (ATM), o sinal missense-domínio é fraco.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optou-se por não competir com o AlphaMissense no AUC bruto — comparação estruturalmente injusta contra o modelo proposto —, e sim por demonstrar o que realmente importa: evidência calibrada exatamente onde ele se abstém. Um laboratório clínico não precisa escolher entre as duas ferramentas; precisa das duas.</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(Starita HDR, AUC 0,712), não em novo experimento de bancada conduzido no âmbito deste trabalho. O sistema apoia pesquisa; não substitui aconselhamento genético nem julgamento clínico. Como trabalhos futuros, pretende-se consolidar a generalização — já demonstrada no TP53 — a mais genes do painel HBOC com coortes maiores, ampliar as coortes externas para caracterizar os limites de aplicabilidade, acompanhar em produção o módulo de aprendizado contínuo com laboratórios parceiros, e explorar modelos de linguagem de proteínas com plataformas automatizadas de evolução dirigida (ZHANG et al., 2025) como fonte futura de rótulos funcionais.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40" w:line="240" w:lineRule="auto"/>
        <w:ind w:firstLine="0"/>
        <w:jc w:val="both"/>
      </w:pPr>
      <w:r>
        <w:rPr>
          <w:rFonts w:ascii="Arial" w:hAnsi="Arial"/>
          <w:sz w:val="20"/>
        </w:rPr>
        <w:t>ACHATZ, M. I. et al. Recommendations for Advancing the Diagnosis and Management of Hereditary Breast and Ovarian Cancer in Brazil. JCO Glob Oncol, v. 6, p. 439-452, 2020. DOI: 10.1200/JGO.19.00170.</w:t>
      </w:r>
    </w:p>
    <w:p>
      <w:pPr>
        <w:spacing w:after="40" w:line="240" w:lineRule="auto"/>
        <w:ind w:firstLine="0"/>
        <w:jc w:val="both"/>
      </w:pPr>
      <w:r>
        <w:rPr>
          <w:rFonts w:ascii="Arial" w:hAnsi="Arial"/>
          <w:sz w:val="20"/>
        </w:rPr>
        <w:t>CHAO, K. R. et al. The landscape of regional missense mutational intolerance quantified from 125,748 exomes. bioRxiv, 2024. DOI: 10.1101/2024.04.11.588920.</w:t>
      </w:r>
    </w:p>
    <w:p>
      <w:pPr>
        <w:spacing w:after="40" w:line="240" w:lineRule="auto"/>
        <w:ind w:firstLine="0"/>
        <w:jc w:val="both"/>
      </w:pPr>
      <w:r>
        <w:rPr>
          <w:rFonts w:ascii="Arial" w:hAnsi="Arial"/>
          <w:sz w:val="20"/>
        </w:rPr>
        <w:t>CHEN, S. et al. A genomic mutational constraint map using variation in 76,156 human genomes. Nature, v. 625, n. 7993, p. 92-100, 2023. DOI: 10.1038/s41586-023-06045-0.</w:t>
      </w:r>
    </w:p>
    <w:p>
      <w:pPr>
        <w:spacing w:after="40" w:line="240" w:lineRule="auto"/>
        <w:ind w:firstLine="0"/>
        <w:jc w:val="both"/>
      </w:pPr>
      <w:r>
        <w:rPr>
          <w:rFonts w:ascii="Arial" w:hAnsi="Arial"/>
          <w:sz w:val="20"/>
        </w:rPr>
        <w:t>CHENG, J. et al. Accurate proteome-wide missense variant effect prediction with AlphaMissense. Science, v. 381, n. 6664, p. eadg7492, 2023. DOI: 10.1126/science.adg7492.</w:t>
      </w:r>
    </w:p>
    <w:p>
      <w:pPr>
        <w:spacing w:after="40" w:line="240" w:lineRule="auto"/>
        <w:ind w:firstLine="0"/>
        <w:jc w:val="both"/>
      </w:pPr>
      <w:r>
        <w:rPr>
          <w:rFonts w:ascii="Arial" w:hAnsi="Arial"/>
          <w:sz w:val="20"/>
        </w:rPr>
        <w:t>DELONG, E. R.; DELONG, D. M.; CLARKE-PEARSON, D. L. Comparing the areas under two or more correlated receiver operating characteristic curves: a nonparametric approach. Biometrics, v. 44, n. 3, p. 837-845, 1988.</w:t>
      </w:r>
    </w:p>
    <w:p>
      <w:pPr>
        <w:spacing w:after="40" w:line="240" w:lineRule="auto"/>
        <w:ind w:firstLine="0"/>
        <w:jc w:val="both"/>
      </w:pPr>
      <w:r>
        <w:rPr>
          <w:rFonts w:ascii="Arial" w:hAnsi="Arial"/>
          <w:sz w:val="20"/>
        </w:rPr>
        <w:t>DINES, J. N. et al. Systematic misclassification of missense variants in BRCA1 and BRCA2 "coldspots". Genet Med, v. 22, n. 5, p. 825-830, 2020. DOI: 10.1038/s41436-019-0740-6.</w:t>
      </w:r>
    </w:p>
    <w:p>
      <w:pPr>
        <w:spacing w:after="40" w:line="240" w:lineRule="auto"/>
        <w:ind w:firstLine="0"/>
        <w:jc w:val="both"/>
      </w:pPr>
      <w:r>
        <w:rPr>
          <w:rFonts w:ascii="Arial" w:hAnsi="Arial"/>
          <w:sz w:val="20"/>
        </w:rPr>
        <w:t>DONG, C. et al. Comparison and integration of deleteriousness prediction methods for nonsynonymous SNVs in whole exome sequencing studies. Hum Mol Genet, v. 24, n. 8, p. 2125-37, 2014. DOI: 10.1093/hmg/ddu733.</w:t>
      </w:r>
    </w:p>
    <w:p>
      <w:pPr>
        <w:spacing w:after="40" w:line="240" w:lineRule="auto"/>
        <w:ind w:firstLine="0"/>
        <w:jc w:val="both"/>
      </w:pPr>
      <w:r>
        <w:rPr>
          <w:rFonts w:ascii="Arial" w:hAnsi="Arial"/>
          <w:sz w:val="20"/>
        </w:rPr>
        <w:t>FAVALLI, V. et al. Machine learning-based reclassification of germline variants of unknown significance: The RENOVO algorithm. Am J Hum Genet, v. 108, n. 4, p. 682-695, 2021. DOI: 10.1016/j.ajhg.2021.03.010.</w:t>
      </w:r>
    </w:p>
    <w:p>
      <w:pPr>
        <w:spacing w:after="40" w:line="240" w:lineRule="auto"/>
        <w:ind w:firstLine="0"/>
        <w:jc w:val="both"/>
      </w:pPr>
      <w:r>
        <w:rPr>
          <w:rFonts w:ascii="Arial" w:hAnsi="Arial"/>
          <w:sz w:val="20"/>
        </w:rPr>
        <w:t>FERNANDES, G. C. et al. Differential Profile of BRCA1 vs. BRCA2 Mutated Families: A Characterization of the Main Differences and Similarities in Patients. Asian Pac J Cancer Prev, v. 20, n. 6, p. 1655-1660, 2019. DOI: 10.31557/APJCP.2019.20.6.1655.</w:t>
      </w:r>
    </w:p>
    <w:p>
      <w:pPr>
        <w:spacing w:after="40" w:line="240" w:lineRule="auto"/>
        <w:ind w:firstLine="0"/>
        <w:jc w:val="both"/>
      </w:pPr>
      <w:r>
        <w:rPr>
          <w:rFonts w:ascii="Arial" w:hAnsi="Arial"/>
          <w:sz w:val="20"/>
        </w:rPr>
        <w:t>FINDLAY, G. M. et al. Saturation editing of genomic regions by multiplex homology-directed repair. Nature, v. 513, n. 7516, p. 120-3, 2014. DOI: 10.1038/nature13695.</w:t>
      </w:r>
    </w:p>
    <w:p>
      <w:pPr>
        <w:spacing w:after="40" w:line="240" w:lineRule="auto"/>
        <w:ind w:firstLine="0"/>
        <w:jc w:val="both"/>
      </w:pPr>
      <w:r>
        <w:rPr>
          <w:rFonts w:ascii="Arial" w:hAnsi="Arial"/>
          <w:sz w:val="20"/>
        </w:rPr>
        <w:t>FINDLAY, G. M. et al. Accurate classification of BRCA1 variants with saturation genome editing. Nature, v. 562, n. 7726, p. 217-222, 2018. DOI: 10.1038/s41586-018-0461-z.</w:t>
      </w:r>
    </w:p>
    <w:p>
      <w:pPr>
        <w:spacing w:after="40" w:line="240" w:lineRule="auto"/>
        <w:ind w:firstLine="0"/>
        <w:jc w:val="both"/>
      </w:pPr>
      <w:r>
        <w:rPr>
          <w:rFonts w:ascii="Arial" w:hAnsi="Arial"/>
          <w:sz w:val="20"/>
        </w:rPr>
        <w:t>GANAKAMMAL, S. R.; ALEXOV, E. Evaluation of performance of leading algorithms for variant pathogenicity predictions and designing a combinatory predictor method: application to Rett syndrome variants. PeerJ, v. 7, p. e8106, 2019. DOI: 10.7717/peerj.8106.</w:t>
      </w:r>
    </w:p>
    <w:p>
      <w:pPr>
        <w:spacing w:after="40" w:line="240" w:lineRule="auto"/>
        <w:ind w:firstLine="0"/>
        <w:jc w:val="both"/>
      </w:pPr>
      <w:r>
        <w:rPr>
          <w:rFonts w:ascii="Arial" w:hAnsi="Arial"/>
          <w:sz w:val="20"/>
        </w:rPr>
        <w:t>HART, S. N. et al. Prediction of the functional impact of missense variants in BRCA1 and BRCA2 with BRCA-ML. NPJ Breast Cancer, v. 6, p. 13, 2020. DOI: 10.1038/s41523-020-0159-x.</w:t>
      </w:r>
    </w:p>
    <w:p>
      <w:pPr>
        <w:spacing w:after="40" w:line="240" w:lineRule="auto"/>
        <w:ind w:firstLine="0"/>
        <w:jc w:val="both"/>
      </w:pPr>
      <w:r>
        <w:rPr>
          <w:rFonts w:ascii="Arial" w:hAnsi="Arial"/>
          <w:sz w:val="20"/>
        </w:rPr>
        <w:t>HU, C. et al. Classification of BRCA2 Variants of Uncertain Significance (VUS) Using an ACMG/AMP Model Incorporating a Homology-Directed Repair (HDR) Functional Assay. Clin Cancer Res, v. 28, n. 17, p. 3742-3751, 2022. DOI: 10.1158/1078-0432.CCR-22-0203.</w:t>
      </w:r>
    </w:p>
    <w:p>
      <w:pPr>
        <w:spacing w:after="40" w:line="240" w:lineRule="auto"/>
        <w:ind w:firstLine="0"/>
        <w:jc w:val="both"/>
      </w:pPr>
      <w:r>
        <w:rPr>
          <w:rFonts w:ascii="Arial" w:hAnsi="Arial"/>
          <w:sz w:val="20"/>
        </w:rPr>
        <w:t>IOANNIDIS, N. M. et al. REVEL: An Ensemble Method for Predicting the Pathogenicity of Rare Missense Variants. Am J Hum Genet, v. 99, n. 4, p. 877-885, 2016. DOI: 10.1016/j.ajhg.2016.08.016.</w:t>
      </w:r>
    </w:p>
    <w:p>
      <w:pPr>
        <w:spacing w:after="40" w:line="240" w:lineRule="auto"/>
        <w:ind w:firstLine="0"/>
        <w:jc w:val="both"/>
      </w:pPr>
      <w:r>
        <w:rPr>
          <w:rFonts w:ascii="Arial" w:hAnsi="Arial"/>
          <w:sz w:val="20"/>
        </w:rPr>
        <w:t>KARCZEWSKI, K. J. et al. The mutational constraint spectrum quantified from variation in 141,456 humans. Nature, v. 581, n. 7809, p. 434-443, 2020. DOI: 10.1038/s41586-020-2308-7.</w:t>
      </w:r>
    </w:p>
    <w:p>
      <w:pPr>
        <w:spacing w:after="40" w:line="240" w:lineRule="auto"/>
        <w:ind w:firstLine="0"/>
        <w:jc w:val="both"/>
      </w:pPr>
      <w:r>
        <w:rPr>
          <w:rFonts w:ascii="Arial" w:hAnsi="Arial"/>
          <w:sz w:val="20"/>
        </w:rPr>
        <w:t>KERNBACH, J. M.; STAARTJES, V. E. Foundations of Machine Learning-Based Clinical Prediction Modeling: Part II-Generalization and Overfitting. Acta Neurochir Suppl, v. 134, p. 15-21, 2022. DOI: 10.1007/978-3-030-85292-4_3.</w:t>
      </w:r>
    </w:p>
    <w:p>
      <w:pPr>
        <w:spacing w:after="40" w:line="240" w:lineRule="auto"/>
        <w:ind w:firstLine="0"/>
        <w:jc w:val="both"/>
      </w:pPr>
      <w:r>
        <w:rPr>
          <w:rFonts w:ascii="Arial" w:hAnsi="Arial"/>
          <w:sz w:val="20"/>
        </w:rPr>
        <w:t>LABES, S. et al. Machine-learning of complex evolutionary signals improves classification of SNVs. NAR Genom Bioinform, v. 4, n. 2, p. lqac025, 2022. DOI: 10.1093/nargab/lqac025.</w:t>
      </w:r>
    </w:p>
    <w:p>
      <w:pPr>
        <w:spacing w:after="40" w:line="240" w:lineRule="auto"/>
        <w:ind w:firstLine="0"/>
        <w:jc w:val="both"/>
      </w:pPr>
      <w:r>
        <w:rPr>
          <w:rFonts w:ascii="Arial" w:hAnsi="Arial"/>
          <w:sz w:val="20"/>
        </w:rPr>
        <w:t>LAKE, N. J. et al. Quantifying constraint in the human mitochondrial genome. Nature, v. 635, n. 8038, p. 390-397, 2024. DOI: 10.1038/s41586-024-08048-x.</w:t>
      </w:r>
    </w:p>
    <w:p>
      <w:pPr>
        <w:spacing w:after="40" w:line="240" w:lineRule="auto"/>
        <w:ind w:firstLine="0"/>
        <w:jc w:val="both"/>
      </w:pPr>
      <w:r>
        <w:rPr>
          <w:rFonts w:ascii="Arial" w:hAnsi="Arial"/>
          <w:sz w:val="20"/>
        </w:rPr>
        <w:t>LASTA, J. L.; GROTO, A. D.; BRANDALIZE, A. P. C. Assessment of medical knowledge toward genetic testing for individuals with hereditary breast and ovarian cancer syndrome in Brazil. Prev Med Rep, v. 35, p. 102356, 2023. DOI: 10.1016/j.pmedr.2023.102356.</w:t>
      </w:r>
    </w:p>
    <w:p>
      <w:pPr>
        <w:spacing w:after="40" w:line="240" w:lineRule="auto"/>
        <w:ind w:firstLine="0"/>
        <w:jc w:val="both"/>
      </w:pPr>
      <w:r>
        <w:rPr>
          <w:rFonts w:ascii="Arial" w:hAnsi="Arial"/>
          <w:sz w:val="20"/>
        </w:rPr>
        <w:t>LIN, Z. et al. Evolutionary-scale prediction of atomic-level protein structure with a language model. Science, v. 379, n. 6637, p. 1123-1130, 2023. DOI: 10.1126/science.ade2574.</w:t>
      </w:r>
    </w:p>
    <w:p>
      <w:pPr>
        <w:spacing w:after="40" w:line="240" w:lineRule="auto"/>
        <w:ind w:firstLine="0"/>
        <w:jc w:val="both"/>
      </w:pPr>
      <w:r>
        <w:rPr>
          <w:rFonts w:ascii="Arial" w:hAnsi="Arial"/>
          <w:sz w:val="20"/>
        </w:rPr>
        <w:t>MANRAI, A. K. et al. Genetic Misdiagnoses and the Potential for Health Disparities. N Engl J Med, v. 375, n. 7, p. 655-665, 2016. DOI: 10.1056/NEJMsa1507092.</w:t>
      </w:r>
    </w:p>
    <w:p>
      <w:pPr>
        <w:spacing w:after="40" w:line="240" w:lineRule="auto"/>
        <w:ind w:firstLine="0"/>
        <w:jc w:val="both"/>
      </w:pPr>
      <w:r>
        <w:rPr>
          <w:rFonts w:ascii="Arial" w:hAnsi="Arial"/>
          <w:sz w:val="20"/>
        </w:rPr>
        <w:t>MCCORMICK, E. M. et al. Specifications of the ACMG/AMP standards and guidelines for mitochondrial DNA variant interpretation. Hum Mutat, v. 41, n. 12, p. 2028-2057, 2020. DOI: 10.1002/humu.24107.</w:t>
      </w:r>
    </w:p>
    <w:p>
      <w:pPr>
        <w:spacing w:after="40" w:line="240" w:lineRule="auto"/>
        <w:ind w:firstLine="0"/>
        <w:jc w:val="both"/>
      </w:pPr>
      <w:r>
        <w:rPr>
          <w:rFonts w:ascii="Arial" w:hAnsi="Arial"/>
          <w:sz w:val="20"/>
        </w:rPr>
        <w:t>MEIER, J. et al. Language models enable zero-shot prediction of the effects of mutations on protein function. NeurIPS, 2021.</w:t>
      </w:r>
    </w:p>
    <w:p>
      <w:pPr>
        <w:spacing w:after="40" w:line="240" w:lineRule="auto"/>
        <w:ind w:firstLine="0"/>
        <w:jc w:val="both"/>
      </w:pPr>
      <w:r>
        <w:rPr>
          <w:rFonts w:ascii="Arial" w:hAnsi="Arial"/>
          <w:sz w:val="20"/>
        </w:rPr>
        <w:t>NORONHA, M. M. et al. Beyond 1100delC: distinct CHEK2 variants and unique cancer phenotypes in Northeast Brazil. Fam Cancer, v. 25, n. 1, p. 8, 2026. DOI: 10.1007/s10689-025-00526-z.</w:t>
      </w:r>
    </w:p>
    <w:p>
      <w:pPr>
        <w:spacing w:after="40" w:line="240" w:lineRule="auto"/>
        <w:ind w:firstLine="0"/>
        <w:jc w:val="both"/>
      </w:pPr>
      <w:r>
        <w:rPr>
          <w:rFonts w:ascii="Arial" w:hAnsi="Arial"/>
          <w:sz w:val="20"/>
        </w:rPr>
        <w:t>NYKAMP, K. et al. Sherloc: a comprehensive refinement of the ACMG-AMP variant classification criteria. Genet Med, v. 19, n. 10, p. 1105-1117, 2017. DOI: 10.1038/gim.2017.37.</w:t>
      </w:r>
    </w:p>
    <w:p>
      <w:pPr>
        <w:spacing w:after="40" w:line="240" w:lineRule="auto"/>
        <w:ind w:firstLine="0"/>
        <w:jc w:val="both"/>
      </w:pPr>
      <w:r>
        <w:rPr>
          <w:rFonts w:ascii="Arial" w:hAnsi="Arial"/>
          <w:sz w:val="20"/>
        </w:rPr>
        <w:t>OZA, A. M. et al. Expert specification of the ACMG/AMP variant interpretation guidelines for genetic hearing loss. Hum Mutat, v. 39, n. 11, p. 1593-1613, 2018. DOI: 10.1002/humu.23630.</w:t>
      </w:r>
    </w:p>
    <w:p>
      <w:pPr>
        <w:spacing w:after="40" w:line="240" w:lineRule="auto"/>
        <w:ind w:firstLine="0"/>
        <w:jc w:val="both"/>
      </w:pPr>
      <w:r>
        <w:rPr>
          <w:rFonts w:ascii="Arial" w:hAnsi="Arial"/>
          <w:sz w:val="20"/>
        </w:rPr>
        <w:t>PALMERO, E. I. et al. Clinical characterization and risk profile of individuals seeking genetic counseling for hereditary breast cancer in Brazil. J Genet Couns, v. 16, n. 3, p. 363-71, 2007. DOI: 10.1007/s10897-006-9073-0.</w:t>
      </w:r>
    </w:p>
    <w:p>
      <w:pPr>
        <w:spacing w:after="40" w:line="240" w:lineRule="auto"/>
        <w:ind w:firstLine="0"/>
        <w:jc w:val="both"/>
      </w:pPr>
      <w:r>
        <w:rPr>
          <w:rFonts w:ascii="Arial" w:hAnsi="Arial"/>
          <w:sz w:val="20"/>
        </w:rPr>
        <w:t>PARSONS, M. T. et al. Large scale multifactorial likelihood quantitative analysis of BRCA1 and BRCA2 variants: An ENIGMA resource to support clinical variant classification. Hum Mutat, v. 40, n. 9, p. 1557-1578, 2019. DOI: 10.1002/humu.23818.</w:t>
      </w:r>
    </w:p>
    <w:p>
      <w:pPr>
        <w:spacing w:after="40" w:line="240" w:lineRule="auto"/>
        <w:ind w:firstLine="0"/>
        <w:jc w:val="both"/>
      </w:pPr>
      <w:r>
        <w:rPr>
          <w:rFonts w:ascii="Arial" w:hAnsi="Arial"/>
          <w:sz w:val="20"/>
        </w:rPr>
        <w:t>PEJAVER, V. et al. Calibration of computational tools for missense variant pathogenicity classification and ClinGen recommendations for PP3/BP4 criteria. Am J Hum Genet, v. 109, n. 12, p. 2163-2177, 2022. DOI: 10.1016/j.ajhg.2022.10.013.</w:t>
      </w:r>
    </w:p>
    <w:p>
      <w:pPr>
        <w:spacing w:after="40" w:line="240" w:lineRule="auto"/>
        <w:ind w:firstLine="0"/>
        <w:jc w:val="both"/>
      </w:pPr>
      <w:r>
        <w:rPr>
          <w:rFonts w:ascii="Arial" w:hAnsi="Arial"/>
          <w:sz w:val="20"/>
        </w:rPr>
        <w:t>POPEJOY, A. B.; FULLERTON, S. M. Genomics is failing on diversity. Nature, v. 538, n. 7624, p. 161-164, 2016. DOI: 10.1038/538161a.</w:t>
      </w:r>
    </w:p>
    <w:p>
      <w:pPr>
        <w:spacing w:after="40" w:line="240" w:lineRule="auto"/>
        <w:ind w:firstLine="0"/>
        <w:jc w:val="both"/>
      </w:pPr>
      <w:r>
        <w:rPr>
          <w:rFonts w:ascii="Arial" w:hAnsi="Arial"/>
          <w:sz w:val="20"/>
        </w:rPr>
        <w:t>RAMADANE-MORCHADI, L. et al. ACMG/AMP interpretation of BRCA1 missense variants: Structure-informed scores add evidence strength granularity to the PP3/BP4 computational evidence. Am J Hum Genet, v. 112, n. 5, p. 993-1002, 2025. DOI: 10.1016/j.ajhg.2024.12.011.</w:t>
      </w:r>
    </w:p>
    <w:p>
      <w:pPr>
        <w:spacing w:after="40" w:line="240" w:lineRule="auto"/>
        <w:ind w:firstLine="0"/>
        <w:jc w:val="both"/>
      </w:pPr>
      <w:r>
        <w:rPr>
          <w:rFonts w:ascii="Arial" w:hAnsi="Arial"/>
          <w:sz w:val="20"/>
        </w:rPr>
        <w:t>RENTZSCH, P. et al. CADD: predicting the deleteriousness of variants throughout the human genome. Nucleic Acids Res, v. 47, n. D1, p. D886-D894, 2019. DOI: 10.1093/nar/gky1016.</w:t>
      </w:r>
    </w:p>
    <w:p>
      <w:pPr>
        <w:spacing w:after="40" w:line="240" w:lineRule="auto"/>
        <w:ind w:firstLine="0"/>
        <w:jc w:val="both"/>
      </w:pPr>
      <w:r>
        <w:rPr>
          <w:rFonts w:ascii="Arial" w:hAnsi="Arial"/>
          <w:sz w:val="20"/>
        </w:rPr>
        <w:t>RIBEIRO, A. A. F. et al. Molecular characterization of hereditary breast and ovarian cancer patients from a public precision medicine service in the Southeast Brazilian population. Sci Rep, v. 15, n. 1, p. 33495, 2025. DOI: 10.1038/s41598-025-16870-0.</w:t>
      </w:r>
    </w:p>
    <w:p>
      <w:pPr>
        <w:spacing w:after="40" w:line="240" w:lineRule="auto"/>
        <w:ind w:firstLine="0"/>
        <w:jc w:val="both"/>
      </w:pPr>
      <w:r>
        <w:rPr>
          <w:rFonts w:ascii="Arial" w:hAnsi="Arial"/>
          <w:sz w:val="20"/>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40" w:line="240" w:lineRule="auto"/>
        <w:ind w:firstLine="0"/>
        <w:jc w:val="both"/>
      </w:pPr>
      <w:r>
        <w:rPr>
          <w:rFonts w:ascii="Arial" w:hAnsi="Arial"/>
          <w:sz w:val="20"/>
        </w:rPr>
        <w:t>SHETTY, A. P. et al. A leakage-controlled and SHAP driven machine learning framework for paediatric respiratory disease classification using Indian hospital EHR data. BMC Med Inform Decis Mak, v. 26, n. 1, 2026. DOI: 10.1186/s12911-026-03493-2.</w:t>
      </w:r>
    </w:p>
    <w:p>
      <w:pPr>
        <w:spacing w:after="40" w:line="240" w:lineRule="auto"/>
        <w:ind w:firstLine="0"/>
        <w:jc w:val="both"/>
      </w:pPr>
      <w:r>
        <w:rPr>
          <w:rFonts w:ascii="Arial" w:hAnsi="Arial"/>
          <w:sz w:val="20"/>
        </w:rPr>
        <w:t>SMOL, T. et al. Performance of meta-predictors for the classification of MED13L missense variations, implication of raw parameters. Eur J Med Genet, v. 65, n. 1, p. 104398, 2021. DOI: 10.1016/j.ejmg.2021.104398.</w:t>
      </w:r>
    </w:p>
    <w:p>
      <w:pPr>
        <w:spacing w:after="40" w:line="240" w:lineRule="auto"/>
        <w:ind w:firstLine="0"/>
        <w:jc w:val="both"/>
      </w:pPr>
      <w:r>
        <w:rPr>
          <w:rFonts w:ascii="Arial" w:hAnsi="Arial"/>
          <w:sz w:val="20"/>
        </w:rPr>
        <w:t>SOEWITO, S. et al. Disparities in Cancer Genetic Testing and Variants of Uncertain Significance in the Hispanic Population of South Texas. JCO Oncol Pract, v. 18, n. 5, p. e805-e813, 2022. DOI: 10.1200/OP.22.00090.</w:t>
      </w:r>
    </w:p>
    <w:p>
      <w:pPr>
        <w:spacing w:after="40" w:line="240" w:lineRule="auto"/>
        <w:ind w:firstLine="0"/>
        <w:jc w:val="both"/>
      </w:pPr>
      <w:r>
        <w:rPr>
          <w:rFonts w:ascii="Arial" w:hAnsi="Arial"/>
          <w:sz w:val="20"/>
        </w:rPr>
        <w:t>STARITA, L. M. et al. Massively Parallel Functional Analysis of BRCA1 RING Domain Variants. Genetics, v. 200, n. 2, p. 413-422, 2015. DOI: 10.1534/genetics.115.175802.</w:t>
      </w:r>
    </w:p>
    <w:p>
      <w:pPr>
        <w:spacing w:after="40" w:line="240" w:lineRule="auto"/>
        <w:ind w:firstLine="0"/>
        <w:jc w:val="both"/>
      </w:pPr>
      <w:r>
        <w:rPr>
          <w:rFonts w:ascii="Arial" w:hAnsi="Arial"/>
          <w:sz w:val="20"/>
        </w:rPr>
        <w:t>SUYBENG, V. et al. Comparison of Pathogenicity Prediction Tools on Somatic Variants. J Mol Diagn, v. 22, n. 12, p. 1383-1392, 2020. DOI: 10.1016/j.jmoldx.2020.08.007.</w:t>
      </w:r>
    </w:p>
    <w:p>
      <w:pPr>
        <w:spacing w:after="40" w:line="240" w:lineRule="auto"/>
        <w:ind w:firstLine="0"/>
        <w:jc w:val="both"/>
      </w:pPr>
      <w:r>
        <w:rPr>
          <w:rFonts w:ascii="Arial" w:hAnsi="Arial"/>
          <w:sz w:val="20"/>
        </w:rPr>
        <w:t>TIAN, Y. et al. REVEL and BayesDel outperform other in silico meta-predictors for clinical variant classification. Sci Rep, v. 9, n. 1, p. 12752, 2019. DOI: 10.1038/s41598-019-49224-8.</w:t>
      </w:r>
    </w:p>
    <w:p>
      <w:pPr>
        <w:spacing w:after="40" w:line="240" w:lineRule="auto"/>
        <w:ind w:firstLine="0"/>
        <w:jc w:val="both"/>
      </w:pPr>
      <w:r>
        <w:rPr>
          <w:rFonts w:ascii="Arial" w:hAnsi="Arial"/>
          <w:sz w:val="20"/>
        </w:rPr>
        <w:t>TOLAND, A. E.; ANDREASSEN, P. R. DNA repair-related functional assays for the classification of BRCA1 and BRCA2 variants: a critical review and needs assessment. J Med Genet, v. 54, n. 11, p. 721-731, 2017. DOI: 10.1136/jmedgenet-2017-104707.</w:t>
      </w:r>
    </w:p>
    <w:p>
      <w:pPr>
        <w:spacing w:after="40" w:line="240" w:lineRule="auto"/>
        <w:ind w:firstLine="0"/>
        <w:jc w:val="both"/>
      </w:pPr>
      <w:r>
        <w:rPr>
          <w:rFonts w:ascii="Arial" w:hAnsi="Arial"/>
          <w:sz w:val="20"/>
        </w:rPr>
        <w:t>TORRETTO, G. C. et al. Domain-Specific Computational, Functional and Structural Methods Enable Interpretation of BRCT Variants of Uncertain Significance. Curr Oncol, v. 33, n. 6, 2026. DOI: 10.3390/curroncol33060354.</w:t>
      </w:r>
    </w:p>
    <w:p>
      <w:pPr>
        <w:spacing w:after="40" w:line="240" w:lineRule="auto"/>
        <w:ind w:firstLine="0"/>
        <w:jc w:val="both"/>
      </w:pPr>
      <w:r>
        <w:rPr>
          <w:rFonts w:ascii="Arial" w:hAnsi="Arial"/>
          <w:sz w:val="20"/>
        </w:rPr>
        <w:t>UNIPROT CONSORTIUM, THE. UniProt: the Universal Protein Knowledgebase in 2023. Nucleic Acids Res, v. 51, n. D1, p. D523-D531, 2023.</w:t>
      </w:r>
    </w:p>
    <w:p>
      <w:pPr>
        <w:spacing w:after="40" w:line="240" w:lineRule="auto"/>
        <w:ind w:firstLine="0"/>
        <w:jc w:val="both"/>
      </w:pPr>
      <w:r>
        <w:rPr>
          <w:rFonts w:ascii="Arial" w:hAnsi="Arial"/>
          <w:sz w:val="20"/>
        </w:rPr>
        <w:t>YANG, H. et al. BRCA2 function in DNA binding and recombination from a BRCA2-DSS1-ssDNA structure. Science, v. 297, n. 5588, p. 1837-1848, 2002. DOI: 10.1126/science.297.5588.1837.</w:t>
      </w:r>
    </w:p>
    <w:p>
      <w:pPr>
        <w:spacing w:after="40" w:line="240" w:lineRule="auto"/>
        <w:ind w:firstLine="0"/>
        <w:jc w:val="both"/>
      </w:pPr>
      <w:r>
        <w:rPr>
          <w:rFonts w:ascii="Arial" w:hAnsi="Arial"/>
          <w:sz w:val="20"/>
        </w:rPr>
        <w:t>ZHANG, X. et al. Genetic constraint at single amino acid resolution in protein domains improves missense variant prioritisation and gene discovery. Genome Med, v. 16, n. 1, p. 88, 2024. DOI: 10.1186/s13073-024-01358-9.</w:t>
      </w:r>
    </w:p>
    <w:p>
      <w:pPr>
        <w:spacing w:after="40" w:line="240" w:lineRule="auto"/>
        <w:ind w:firstLine="0"/>
        <w:jc w:val="both"/>
      </w:pPr>
      <w:r>
        <w:rPr>
          <w:rFonts w:ascii="Arial" w:hAnsi="Arial"/>
          <w:sz w:val="20"/>
        </w:rPr>
        <w:t>ZHANG, Q. et al. Integrating protein language models and automatic biofoundry for enhanced protein evolution. Nat Commun, v. 16, n. 1, p. 1553, 2025. DOI: 10.1038/s41467-025-56751-8.</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