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HU, C. et al. Functional analysis and clinical classification of 462 germline BRCA2 missense variants affecting the DNA binding domain. Am J Hum Genet, v. 111, n. 3, p. 584-593, 2024. DOI: 10.1016/j.ajhg.2024.02.002.</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