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 xml:space="preserve">Wesley Felipe Capucho —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 xml:space="preserve">Escola de Engenharia de Lorena, Universidade de São Paulo (EEL-USP) —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 a versão final e completa do sistema, domínio funcional mais linguagem proteica —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 264 VUS e 192 conflitantes),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(só o CADD ficou à frente, sem significância na amostra pequena); o método também generalizou, com dados reais do ClinVar, para o TP53, von Hippel-Lindau, Lynch e MEN2 (AUC 0,75–0,97). O sistema é entregue como plataforma aberta, auditável e reprodutível. A contribuição central não é um número inflado, mas um método honesto, generalizável e continuamente aprimorável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818823"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818823"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 xml:space="preserve">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 xml:space="preserve">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 xml:space="preserve">4. Comparar esse modelo, de forma honesta,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 xml:space="preserve">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 + 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 xml:space="preserve">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 xml:space="preserve">Comparação honesta,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 xml:space="preserve">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 xml:space="preserve">A hipótese foi testada sob o protocolo anti-vazamento (Tabela 1). Os primos tiveram desempenho inferior à identidade trivial e pioraram um modelo bioquímico ao serem adicionados (Tabela 2).</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ᵃ Incluem gene e posição bruta —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4B">
      <w:pPr>
        <w:spacing w:before="200" w:lineRule="auto"/>
        <w:ind w:firstLine="0"/>
        <w:rPr/>
      </w:pPr>
      <w:r>
        <w:rPr>
          <w:rFonts w:ascii="Arial" w:cs="Arial" w:eastAsia="Arial" w:hAnsi="Arial"/>
          <w:b w:val="1"/>
          <w:bCs w:val="1"/>
          <w:sz w:val="22"/>
          <w:szCs w:val="22"/>
          <w:rtl w:val="0"/>
        </w:rPr>
        <w:t xml:space="preserve">Tabela 2. Comparações pareadas por DeLong.</w:t>
      </w:r>
      <w:r>
        <w:rPr>
          <w:rtl w:val="0"/>
        </w:rPr>
      </w:r>
    </w:p>
    <w:tbl>
      <w:tblPr>
        <w:tblStyle w:val="Table2"/>
        <w:tblW w:w="9072.0" w:type="dxa"/>
        <w:jc w:val="center"/>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4C">
            <w:pPr>
              <w:ind w:firstLine="0"/>
              <w:jc w:val="center"/>
              <w:rPr/>
            </w:pPr>
            <w:r>
              <w:rPr>
                <w:rFonts w:ascii="Arial" w:cs="Arial" w:eastAsia="Arial" w:hAnsi="Arial"/>
                <w:b w:val="1"/>
                <w:bCs w:val="1"/>
                <w:sz w:val="21"/>
                <w:szCs w:val="21"/>
                <w:rtl w:val="0"/>
              </w:rPr>
              <w:t xml:space="preserve">Comparação</w:t>
            </w:r>
            <w:r>
              <w:rPr>
                <w:rtl w:val="0"/>
              </w:rPr>
            </w:r>
          </w:p>
        </w:tc>
        <w:tc>
          <w:tcPr>
            <w:tcBorders>
              <w:top w:color="000000" w:space="0" w:sz="10" w:val="single"/>
              <w:bottom w:color="000000" w:space="0" w:sz="10" w:val="single"/>
            </w:tcBorders>
          </w:tcPr>
          <w:p w:rsidR="00000000" w:rsidDel="00000000" w:rsidP="00000000" w:rsidRDefault="00000000" w:rsidRPr="00000000" w14:paraId="0000004D">
            <w:pPr>
              <w:ind w:firstLine="0"/>
              <w:jc w:val="center"/>
              <w:rPr/>
            </w:pPr>
            <w:r>
              <w:rPr>
                <w:rFonts w:ascii="Arial" w:cs="Arial" w:eastAsia="Arial" w:hAnsi="Arial"/>
                <w:b w:val="1"/>
                <w:bCs w:val="1"/>
                <w:sz w:val="21"/>
                <w:szCs w:val="21"/>
                <w:rtl w:val="0"/>
              </w:rPr>
              <w:t xml:space="preserve">Protocolo</w:t>
            </w:r>
            <w:r>
              <w:rPr>
                <w:rtl w:val="0"/>
              </w:rPr>
            </w:r>
          </w:p>
        </w:tc>
        <w:tc>
          <w:tcPr>
            <w:tcBorders>
              <w:top w:color="000000" w:space="0" w:sz="10" w:val="single"/>
              <w:bottom w:color="000000" w:space="0" w:sz="10" w:val="single"/>
            </w:tcBorders>
          </w:tcPr>
          <w:p w:rsidR="00000000" w:rsidDel="00000000" w:rsidP="00000000" w:rsidRDefault="00000000" w:rsidRPr="00000000" w14:paraId="0000004E">
            <w:pPr>
              <w:ind w:firstLine="0"/>
              <w:jc w:val="center"/>
              <w:rPr/>
            </w:pPr>
            <w:r>
              <w:rPr>
                <w:rFonts w:ascii="Arial" w:cs="Arial" w:eastAsia="Arial" w:hAnsi="Arial"/>
                <w:b w:val="1"/>
                <w:bCs w:val="1"/>
                <w:sz w:val="21"/>
                <w:szCs w:val="21"/>
                <w:rtl w:val="0"/>
              </w:rPr>
              <w:t xml:space="preserve">AUC A</w:t>
            </w:r>
            <w:r>
              <w:rPr>
                <w:rtl w:val="0"/>
              </w:rPr>
            </w:r>
          </w:p>
        </w:tc>
        <w:tc>
          <w:tcPr>
            <w:tcBorders>
              <w:top w:color="000000" w:space="0" w:sz="10" w:val="single"/>
              <w:bottom w:color="000000" w:space="0" w:sz="10" w:val="single"/>
            </w:tcBorders>
          </w:tcPr>
          <w:p w:rsidR="00000000" w:rsidDel="00000000" w:rsidP="00000000" w:rsidRDefault="00000000" w:rsidRPr="00000000" w14:paraId="0000004F">
            <w:pPr>
              <w:ind w:firstLine="0"/>
              <w:jc w:val="center"/>
              <w:rPr/>
            </w:pPr>
            <w:r>
              <w:rPr>
                <w:rFonts w:ascii="Arial" w:cs="Arial" w:eastAsia="Arial" w:hAnsi="Arial"/>
                <w:b w:val="1"/>
                <w:bCs w:val="1"/>
                <w:sz w:val="21"/>
                <w:szCs w:val="21"/>
                <w:rtl w:val="0"/>
              </w:rPr>
              <w:t xml:space="preserve">AUC B</w:t>
            </w:r>
            <w:r>
              <w:rPr>
                <w:rtl w:val="0"/>
              </w:rPr>
            </w:r>
          </w:p>
        </w:tc>
        <w:tc>
          <w:tcPr>
            <w:tcBorders>
              <w:top w:color="000000" w:space="0" w:sz="10" w:val="single"/>
              <w:bottom w:color="000000" w:space="0" w:sz="10" w:val="single"/>
            </w:tcBorders>
          </w:tcPr>
          <w:p w:rsidR="00000000" w:rsidDel="00000000" w:rsidP="00000000" w:rsidRDefault="00000000" w:rsidRPr="00000000" w14:paraId="00000050">
            <w:pPr>
              <w:ind w:firstLine="0"/>
              <w:jc w:val="center"/>
              <w:rPr/>
            </w:pPr>
            <w:r>
              <w:rPr>
                <w:rFonts w:ascii="Arial" w:cs="Arial" w:eastAsia="Arial" w:hAnsi="Arial"/>
                <w:b w:val="1"/>
                <w:bCs w:val="1"/>
                <w:sz w:val="21"/>
                <w:szCs w:val="21"/>
                <w:rtl w:val="0"/>
              </w:rPr>
              <w:t xml:space="preserve">Δ</w:t>
            </w:r>
            <w:r>
              <w:rPr>
                <w:rtl w:val="0"/>
              </w:rPr>
            </w:r>
          </w:p>
        </w:tc>
        <w:tc>
          <w:tcPr>
            <w:tcBorders>
              <w:top w:color="000000" w:space="0" w:sz="10" w:val="single"/>
              <w:bottom w:color="000000" w:space="0" w:sz="10" w:val="single"/>
            </w:tcBorders>
          </w:tcPr>
          <w:p w:rsidR="00000000" w:rsidDel="00000000" w:rsidP="00000000" w:rsidRDefault="00000000" w:rsidRPr="00000000" w14:paraId="00000051">
            <w:pPr>
              <w:ind w:firstLine="0"/>
              <w:jc w:val="center"/>
              <w:rPr/>
            </w:pPr>
            <w:r>
              <w:rPr>
                <w:rFonts w:ascii="Arial" w:cs="Arial" w:eastAsia="Arial" w:hAnsi="Arial"/>
                <w:b w:val="1"/>
                <w:bCs w:val="1"/>
                <w:sz w:val="21"/>
                <w:szCs w:val="21"/>
                <w:rtl w:val="0"/>
              </w:rPr>
              <w:t xml:space="preserve">p</w:t>
            </w:r>
            <w:r>
              <w:rPr>
                <w:rtl w:val="0"/>
              </w:rPr>
            </w:r>
          </w:p>
        </w:tc>
      </w:tr>
      <w:tr>
        <w:trPr>
          <w:cantSplit w:val="1"/>
          <w:tblHeader w:val="0"/>
        </w:trPr>
        <w:tc>
          <w:tcPr/>
          <w:p w:rsidR="00000000" w:rsidDel="00000000" w:rsidP="00000000" w:rsidRDefault="00000000" w:rsidRPr="00000000" w14:paraId="00000052">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3">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54">
            <w:pPr>
              <w:ind w:firstLine="0"/>
              <w:jc w:val="center"/>
              <w:rPr/>
            </w:pPr>
            <w:r>
              <w:rPr>
                <w:rFonts w:ascii="Arial" w:cs="Arial" w:eastAsia="Arial" w:hAnsi="Arial"/>
                <w:sz w:val="21"/>
                <w:szCs w:val="21"/>
                <w:rtl w:val="0"/>
              </w:rPr>
              <w:t xml:space="preserve">0,717</w:t>
            </w:r>
            <w:r>
              <w:rPr>
                <w:rtl w:val="0"/>
              </w:rPr>
            </w:r>
          </w:p>
        </w:tc>
        <w:tc>
          <w:tcPr/>
          <w:p w:rsidR="00000000" w:rsidDel="00000000" w:rsidP="00000000" w:rsidRDefault="00000000" w:rsidRPr="00000000" w14:paraId="00000055">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56">
            <w:pPr>
              <w:ind w:firstLine="0"/>
              <w:jc w:val="center"/>
              <w:rPr/>
            </w:pPr>
            <w:r>
              <w:rPr>
                <w:rFonts w:ascii="Arial" w:cs="Arial" w:eastAsia="Arial" w:hAnsi="Arial"/>
                <w:sz w:val="21"/>
                <w:szCs w:val="21"/>
                <w:rtl w:val="0"/>
              </w:rPr>
              <w:t xml:space="preserve">−0,028</w:t>
            </w:r>
            <w:r>
              <w:rPr>
                <w:rtl w:val="0"/>
              </w:rPr>
            </w:r>
          </w:p>
        </w:tc>
        <w:tc>
          <w:tcPr/>
          <w:p w:rsidR="00000000" w:rsidDel="00000000" w:rsidP="00000000" w:rsidRDefault="00000000" w:rsidRPr="00000000" w14:paraId="00000057">
            <w:pPr>
              <w:ind w:firstLine="0"/>
              <w:jc w:val="center"/>
              <w:rPr/>
            </w:pPr>
            <w:r>
              <w:rPr>
                <w:rFonts w:ascii="Arial" w:cs="Arial" w:eastAsia="Arial" w:hAnsi="Arial"/>
                <w:sz w:val="21"/>
                <w:szCs w:val="21"/>
                <w:rtl w:val="0"/>
              </w:rPr>
              <w:t xml:space="preserve">0,081</w:t>
            </w:r>
            <w:r>
              <w:rPr>
                <w:rtl w:val="0"/>
              </w:rPr>
            </w:r>
          </w:p>
        </w:tc>
      </w:tr>
      <w:tr>
        <w:trPr>
          <w:cantSplit w:val="1"/>
          <w:tblHeader w:val="0"/>
        </w:trPr>
        <w:tc>
          <w:tcPr/>
          <w:p w:rsidR="00000000" w:rsidDel="00000000" w:rsidP="00000000" w:rsidRDefault="00000000" w:rsidRPr="00000000" w14:paraId="00000058">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9">
            <w:pPr>
              <w:ind w:firstLine="0"/>
              <w:jc w:val="center"/>
              <w:rPr/>
            </w:pPr>
            <w:r>
              <w:rPr>
                <w:rFonts w:ascii="Arial" w:cs="Arial" w:eastAsia="Arial" w:hAnsi="Arial"/>
                <w:sz w:val="21"/>
                <w:szCs w:val="21"/>
                <w:rtl w:val="0"/>
              </w:rPr>
              <w:t xml:space="preserve">Externa</w:t>
            </w:r>
            <w:r>
              <w:rPr>
                <w:rtl w:val="0"/>
              </w:rPr>
            </w:r>
          </w:p>
        </w:tc>
        <w:tc>
          <w:tcPr/>
          <w:p w:rsidR="00000000" w:rsidDel="00000000" w:rsidP="00000000" w:rsidRDefault="00000000" w:rsidRPr="00000000" w14:paraId="0000005A">
            <w:pPr>
              <w:ind w:firstLine="0"/>
              <w:jc w:val="center"/>
              <w:rPr/>
            </w:pPr>
            <w:r>
              <w:rPr>
                <w:rFonts w:ascii="Arial" w:cs="Arial" w:eastAsia="Arial" w:hAnsi="Arial"/>
                <w:sz w:val="21"/>
                <w:szCs w:val="21"/>
                <w:rtl w:val="0"/>
              </w:rPr>
              <w:t xml:space="preserve">0,681</w:t>
            </w:r>
            <w:r>
              <w:rPr>
                <w:rtl w:val="0"/>
              </w:rPr>
            </w:r>
          </w:p>
        </w:tc>
        <w:tc>
          <w:tcPr/>
          <w:p w:rsidR="00000000" w:rsidDel="00000000" w:rsidP="00000000" w:rsidRDefault="00000000" w:rsidRPr="00000000" w14:paraId="0000005B">
            <w:pPr>
              <w:ind w:firstLine="0"/>
              <w:jc w:val="center"/>
              <w:rPr/>
            </w:pPr>
            <w:r>
              <w:rPr>
                <w:rFonts w:ascii="Arial" w:cs="Arial" w:eastAsia="Arial" w:hAnsi="Arial"/>
                <w:sz w:val="21"/>
                <w:szCs w:val="21"/>
                <w:rtl w:val="0"/>
              </w:rPr>
              <w:t xml:space="preserve">0,718</w:t>
            </w:r>
            <w:r>
              <w:rPr>
                <w:rtl w:val="0"/>
              </w:rPr>
            </w:r>
          </w:p>
        </w:tc>
        <w:tc>
          <w:tcPr/>
          <w:p w:rsidR="00000000" w:rsidDel="00000000" w:rsidP="00000000" w:rsidRDefault="00000000" w:rsidRPr="00000000" w14:paraId="0000005C">
            <w:pPr>
              <w:ind w:firstLine="0"/>
              <w:jc w:val="center"/>
              <w:rPr/>
            </w:pPr>
            <w:r>
              <w:rPr>
                <w:rFonts w:ascii="Arial" w:cs="Arial" w:eastAsia="Arial" w:hAnsi="Arial"/>
                <w:sz w:val="21"/>
                <w:szCs w:val="21"/>
                <w:rtl w:val="0"/>
              </w:rPr>
              <w:t xml:space="preserve">−0,038</w:t>
            </w:r>
            <w:r>
              <w:rPr>
                <w:rtl w:val="0"/>
              </w:rPr>
            </w:r>
          </w:p>
        </w:tc>
        <w:tc>
          <w:tcPr/>
          <w:p w:rsidR="00000000" w:rsidDel="00000000" w:rsidP="00000000" w:rsidRDefault="00000000" w:rsidRPr="00000000" w14:paraId="0000005D">
            <w:pPr>
              <w:ind w:firstLine="0"/>
              <w:jc w:val="center"/>
              <w:rPr/>
            </w:pPr>
            <w:r>
              <w:rPr>
                <w:rFonts w:ascii="Arial" w:cs="Arial" w:eastAsia="Arial" w:hAnsi="Arial"/>
                <w:sz w:val="21"/>
                <w:szCs w:val="21"/>
                <w:rtl w:val="0"/>
              </w:rPr>
              <w:t xml:space="preserve">0,045</w:t>
            </w:r>
            <w:r>
              <w:rPr>
                <w:rtl w:val="0"/>
              </w:rPr>
            </w:r>
          </w:p>
        </w:tc>
      </w:tr>
      <w:tr>
        <w:trPr>
          <w:cantSplit w:val="1"/>
          <w:tblHeader w:val="0"/>
        </w:trPr>
        <w:tc>
          <w:tcPr/>
          <w:p w:rsidR="00000000" w:rsidDel="00000000" w:rsidP="00000000" w:rsidRDefault="00000000" w:rsidRPr="00000000" w14:paraId="0000005E">
            <w:pPr>
              <w:ind w:firstLine="0"/>
              <w:jc w:val="left"/>
              <w:rPr/>
            </w:pPr>
            <w:r>
              <w:rPr>
                <w:rFonts w:ascii="Arial" w:cs="Arial" w:eastAsia="Arial" w:hAnsi="Arial"/>
                <w:sz w:val="21"/>
                <w:szCs w:val="21"/>
                <w:rtl w:val="0"/>
              </w:rPr>
              <w:t xml:space="preserve">Híbrido vs. bioquímico</w:t>
            </w:r>
            <w:r>
              <w:rPr>
                <w:rtl w:val="0"/>
              </w:rPr>
            </w:r>
          </w:p>
        </w:tc>
        <w:tc>
          <w:tcPr/>
          <w:p w:rsidR="00000000" w:rsidDel="00000000" w:rsidP="00000000" w:rsidRDefault="00000000" w:rsidRPr="00000000" w14:paraId="0000005F">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60">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61">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62">
            <w:pPr>
              <w:ind w:firstLine="0"/>
              <w:jc w:val="center"/>
              <w:rPr/>
            </w:pPr>
            <w:r>
              <w:rPr>
                <w:rFonts w:ascii="Arial" w:cs="Arial" w:eastAsia="Arial" w:hAnsi="Arial"/>
                <w:sz w:val="21"/>
                <w:szCs w:val="21"/>
                <w:rtl w:val="0"/>
              </w:rPr>
              <w:t xml:space="preserve">−0,019</w:t>
            </w:r>
            <w:r>
              <w:rPr>
                <w:rtl w:val="0"/>
              </w:rPr>
            </w:r>
          </w:p>
        </w:tc>
        <w:tc>
          <w:tcPr/>
          <w:p w:rsidR="00000000" w:rsidDel="00000000" w:rsidP="00000000" w:rsidRDefault="00000000" w:rsidRPr="00000000" w14:paraId="00000063">
            <w:pPr>
              <w:ind w:firstLine="0"/>
              <w:jc w:val="center"/>
              <w:rPr/>
            </w:pPr>
            <w:r>
              <w:rPr>
                <w:rFonts w:ascii="Arial" w:cs="Arial" w:eastAsia="Arial" w:hAnsi="Arial"/>
                <w:sz w:val="21"/>
                <w:szCs w:val="21"/>
                <w:rtl w:val="0"/>
              </w:rPr>
              <w:t xml:space="preserve">&lt;0,0001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64">
            <w:pPr>
              <w:ind w:firstLine="0"/>
              <w:jc w:val="left"/>
              <w:rPr/>
            </w:pPr>
            <w:r>
              <w:rPr>
                <w:rFonts w:ascii="Arial" w:cs="Arial" w:eastAsia="Arial" w:hAnsi="Arial"/>
                <w:sz w:val="21"/>
                <w:szCs w:val="21"/>
                <w:rtl w:val="0"/>
              </w:rPr>
              <w:t xml:space="preserve">Híbrido vs. bioquímico</w:t>
            </w:r>
            <w:r>
              <w:rPr>
                <w:rtl w:val="0"/>
              </w:rPr>
            </w:r>
          </w:p>
        </w:tc>
        <w:tc>
          <w:tcPr>
            <w:tcBorders>
              <w:bottom w:color="000000" w:space="0" w:sz="10" w:val="single"/>
            </w:tcBorders>
          </w:tcPr>
          <w:p w:rsidR="00000000" w:rsidDel="00000000" w:rsidP="00000000" w:rsidRDefault="00000000" w:rsidRPr="00000000" w14:paraId="00000065">
            <w:pPr>
              <w:ind w:firstLine="0"/>
              <w:jc w:val="center"/>
              <w:rPr/>
            </w:pPr>
            <w:r>
              <w:rPr>
                <w:rFonts w:ascii="Arial" w:cs="Arial" w:eastAsia="Arial" w:hAnsi="Arial"/>
                <w:sz w:val="21"/>
                <w:szCs w:val="21"/>
                <w:rtl w:val="0"/>
              </w:rPr>
              <w:t xml:space="preserve">Externa</w:t>
            </w:r>
            <w:r>
              <w:rPr>
                <w:rtl w:val="0"/>
              </w:rPr>
            </w:r>
          </w:p>
        </w:tc>
        <w:tc>
          <w:tcPr>
            <w:tcBorders>
              <w:bottom w:color="000000" w:space="0" w:sz="10" w:val="single"/>
            </w:tcBorders>
          </w:tcPr>
          <w:p w:rsidR="00000000" w:rsidDel="00000000" w:rsidP="00000000" w:rsidRDefault="00000000" w:rsidRPr="00000000" w14:paraId="00000066">
            <w:pPr>
              <w:ind w:firstLine="0"/>
              <w:jc w:val="center"/>
              <w:rPr/>
            </w:pPr>
            <w:r>
              <w:rPr>
                <w:rFonts w:ascii="Arial" w:cs="Arial" w:eastAsia="Arial" w:hAnsi="Arial"/>
                <w:sz w:val="21"/>
                <w:szCs w:val="21"/>
                <w:rtl w:val="0"/>
              </w:rPr>
              <w:t xml:space="preserve">0,765</w:t>
            </w:r>
            <w:r>
              <w:rPr>
                <w:rtl w:val="0"/>
              </w:rPr>
            </w:r>
          </w:p>
        </w:tc>
        <w:tc>
          <w:tcPr>
            <w:tcBorders>
              <w:bottom w:color="000000" w:space="0" w:sz="10" w:val="single"/>
            </w:tcBorders>
          </w:tcPr>
          <w:p w:rsidR="00000000" w:rsidDel="00000000" w:rsidP="00000000" w:rsidRDefault="00000000" w:rsidRPr="00000000" w14:paraId="00000067">
            <w:pPr>
              <w:ind w:firstLine="0"/>
              <w:jc w:val="center"/>
              <w:rPr/>
            </w:pPr>
            <w:r>
              <w:rPr>
                <w:rFonts w:ascii="Arial" w:cs="Arial" w:eastAsia="Arial" w:hAnsi="Arial"/>
                <w:sz w:val="21"/>
                <w:szCs w:val="21"/>
                <w:rtl w:val="0"/>
              </w:rPr>
              <w:t xml:space="preserve">0,791</w:t>
            </w:r>
            <w:r>
              <w:rPr>
                <w:rtl w:val="0"/>
              </w:rPr>
            </w:r>
          </w:p>
        </w:tc>
        <w:tc>
          <w:tcPr>
            <w:tcBorders>
              <w:bottom w:color="000000" w:space="0" w:sz="10" w:val="single"/>
            </w:tcBorders>
          </w:tcPr>
          <w:p w:rsidR="00000000" w:rsidDel="00000000" w:rsidP="00000000" w:rsidRDefault="00000000" w:rsidRPr="00000000" w14:paraId="00000068">
            <w:pPr>
              <w:ind w:firstLine="0"/>
              <w:jc w:val="center"/>
              <w:rPr/>
            </w:pPr>
            <w:r>
              <w:rPr>
                <w:rFonts w:ascii="Arial" w:cs="Arial" w:eastAsia="Arial" w:hAnsi="Arial"/>
                <w:sz w:val="21"/>
                <w:szCs w:val="21"/>
                <w:rtl w:val="0"/>
              </w:rPr>
              <w:t xml:space="preserve">−0,027</w:t>
            </w:r>
            <w:r>
              <w:rPr>
                <w:rtl w:val="0"/>
              </w:rPr>
            </w:r>
          </w:p>
        </w:tc>
        <w:tc>
          <w:tcPr>
            <w:tcBorders>
              <w:bottom w:color="000000" w:space="0" w:sz="10" w:val="single"/>
            </w:tcBorders>
          </w:tcPr>
          <w:p w:rsidR="00000000" w:rsidDel="00000000" w:rsidP="00000000" w:rsidRDefault="00000000" w:rsidRPr="00000000" w14:paraId="00000069">
            <w:pPr>
              <w:ind w:firstLine="0"/>
              <w:jc w:val="center"/>
              <w:rPr/>
            </w:pPr>
            <w:r>
              <w:rPr>
                <w:rFonts w:ascii="Arial" w:cs="Arial" w:eastAsia="Arial" w:hAnsi="Arial"/>
                <w:sz w:val="21"/>
                <w:szCs w:val="21"/>
                <w:rtl w:val="0"/>
              </w:rPr>
              <w:t xml:space="preserve">&lt;0,0001</w:t>
            </w:r>
            <w:r>
              <w:rPr>
                <w:rtl w:val="0"/>
              </w:rPr>
            </w:r>
          </w:p>
        </w:tc>
      </w:tr>
    </w:tbl>
    <w:p w:rsidR="00000000" w:rsidDel="00000000" w:rsidP="00000000" w:rsidRDefault="00000000" w:rsidRPr="00000000" w14:paraId="0000006A">
      <w:pPr>
        <w:spacing w:after="240" w:lineRule="auto"/>
        <w:ind w:firstLine="0"/>
        <w:rPr/>
      </w:pPr>
      <w:r>
        <w:rPr>
          <w:sz w:val="23"/>
          <w:szCs w:val="23"/>
          <w:rtl w:val="0"/>
        </w:rPr>
        <w:t xml:space="preserve">Fonte: autoria própria</w:t>
      </w:r>
      <w:r>
        <w:rPr>
          <w:rtl w:val="0"/>
        </w:rPr>
      </w:r>
    </w:p>
    <w:p w:rsidR="00000000" w:rsidDel="00000000" w:rsidP="00000000" w:rsidRDefault="00000000" w:rsidRPr="00000000" w14:paraId="0000006B">
      <w:pPr>
        <w:spacing w:after="0" w:before="0" w:lineRule="auto"/>
        <w:ind w:firstLine="709"/>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 xml:space="preserve">A diferença é uma tendência não significativa na CV interna (p = 0,081), mas significativa na generalização externa (p = 0,045) — e adicionar primos a um modelo bioquímico piora o desempenho externo (p &lt; 0,0001). A conclusão é honesta: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 xml:space="preserve">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 xml:space="preserve">Com a substituição da posição bruta por região funcional, obteve-se um modelo que generaliza melhor externamente (Tabela 3;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 xml:space="preserve">Tabela 3.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rsidR="00000000" w:rsidDel="00000000" w:rsidP="00000000" w:rsidRDefault="00000000" w:rsidRPr="00000000" w14:paraId="0000007F">
      <w:pPr>
        <w:spacing w:after="240" w:lineRule="auto"/>
        <w:ind w:firstLine="0"/>
        <w:jc w:val="left"/>
        <w:rPr>
          <w:i w:val="1"/>
          <w:iCs w:val="1"/>
          <w:sz w:val="19"/>
          <w:szCs w:val="19"/>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1">
      <w:pPr>
        <w:spacing w:after="240" w:lineRule="auto"/>
        <w:ind w:firstLine="0"/>
        <w:jc w:val="center"/>
        <w:rPr>
          <w:b w:val="1"/>
          <w:bCs w:val="1"/>
          <w:sz w:val="20"/>
          <w:szCs w:val="20"/>
        </w:rPr>
      </w:pPr>
      <w:r>
        <w:rPr>
          <w:rtl w:val="0"/>
        </w:rPr>
      </w:r>
    </w:p>
    <w:p w:rsidR="00000000" w:rsidDel="00000000" w:rsidP="00000000" w:rsidRDefault="00000000" w:rsidRPr="00000000" w14:paraId="00000082">
      <w:pPr>
        <w:spacing w:after="240" w:lineRule="auto"/>
        <w:ind w:firstLine="0"/>
        <w:jc w:val="center"/>
        <w:rPr>
          <w:b w:val="1"/>
          <w:bCs w:val="1"/>
          <w:sz w:val="20"/>
          <w:szCs w:val="20"/>
        </w:rPr>
      </w:pPr>
      <w:r>
        <w:rPr>
          <w:rtl w:val="0"/>
        </w:rPr>
      </w:r>
    </w:p>
    <w:p w:rsidR="00000000" w:rsidDel="00000000" w:rsidP="00000000" w:rsidRDefault="00000000" w:rsidRPr="00000000" w14:paraId="00000083">
      <w:pPr>
        <w:spacing w:after="240" w:lineRule="auto"/>
        <w:ind w:firstLine="0"/>
        <w:jc w:val="center"/>
        <w:rPr>
          <w:b w:val="1"/>
          <w:bCs w:val="1"/>
          <w:sz w:val="20"/>
          <w:szCs w:val="20"/>
        </w:rPr>
      </w:pPr>
      <w:r>
        <w:rPr>
          <w:rtl w:val="0"/>
        </w:rPr>
      </w:r>
    </w:p>
    <w:p w:rsidR="00000000" w:rsidDel="00000000" w:rsidP="00000000" w:rsidRDefault="00000000" w:rsidRPr="00000000" w14:paraId="00000084">
      <w:pPr>
        <w:spacing w:after="240" w:lineRule="auto"/>
        <w:ind w:firstLine="0"/>
        <w:jc w:val="center"/>
        <w:rPr>
          <w:b w:val="1"/>
          <w:bCs w:val="1"/>
          <w:sz w:val="20"/>
          <w:szCs w:val="20"/>
        </w:rPr>
      </w:pPr>
      <w:r>
        <w:rPr>
          <w:rtl w:val="0"/>
        </w:rPr>
      </w:r>
    </w:p>
    <w:p w:rsidR="00000000" w:rsidDel="00000000" w:rsidP="00000000" w:rsidRDefault="00000000" w:rsidRPr="00000000" w14:paraId="00000085">
      <w:pPr>
        <w:spacing w:after="240" w:lineRule="auto"/>
        <w:ind w:firstLine="0"/>
        <w:jc w:val="left"/>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8C">
      <w:pPr>
        <w:spacing w:after="80" w:before="0" w:lineRule="auto"/>
        <w:ind w:firstLine="709"/>
        <w:rPr/>
      </w:pPr>
      <w:r>
        <w:rPr>
          <w:rtl w:val="0"/>
        </w:rPr>
      </w:r>
    </w:p>
    <w:p w:rsidR="00000000" w:rsidDel="00000000" w:rsidP="00000000" w:rsidRDefault="00000000" w:rsidRPr="00000000" w14:paraId="0000008D">
      <w:pPr>
        <w:spacing w:after="80" w:before="0" w:lineRule="auto"/>
        <w:ind w:firstLine="709"/>
        <w:rPr/>
      </w:pPr>
      <w:r>
        <w:rPr>
          <w:rtl w:val="0"/>
        </w:rPr>
      </w:r>
    </w:p>
    <w:p w:rsidR="00000000" w:rsidDel="00000000" w:rsidP="00000000" w:rsidRDefault="00000000" w:rsidRPr="00000000" w14:paraId="0000008E">
      <w:pPr>
        <w:spacing w:after="80" w:before="0" w:lineRule="auto"/>
        <w:ind w:firstLine="709"/>
        <w:rPr/>
      </w:pPr>
      <w:r>
        <w:rPr>
          <w:rtl w:val="0"/>
        </w:rPr>
      </w:r>
    </w:p>
    <w:p w:rsidR="00000000" w:rsidDel="00000000" w:rsidP="00000000" w:rsidRDefault="00000000" w:rsidRPr="00000000" w14:paraId="0000008F">
      <w:pPr>
        <w:spacing w:after="80" w:before="0" w:lineRule="auto"/>
        <w:ind w:firstLine="709"/>
        <w:rPr/>
      </w:pPr>
      <w:r>
        <w:rPr>
          <w:rtl w:val="0"/>
        </w:rPr>
      </w:r>
    </w:p>
    <w:p w:rsidR="00000000" w:rsidDel="00000000" w:rsidP="00000000" w:rsidRDefault="00000000" w:rsidRPr="00000000" w14:paraId="00000090">
      <w:pPr>
        <w:spacing w:after="240" w:lineRule="auto"/>
        <w:ind w:firstLine="0"/>
        <w:jc w:val="left"/>
        <w:rPr/>
      </w:pPr>
      <w:r>
        <w:rPr>
          <w:b w:val="1"/>
          <w:bCs w:val="1"/>
          <w:sz w:val="20"/>
          <w:szCs w:val="20"/>
          <w:rtl w:val="0"/>
        </w:rPr>
        <w:t xml:space="preserve">Figura 3.</w:t>
      </w:r>
      <w:r>
        <w:rPr>
          <w:sz w:val="20"/>
          <w:szCs w:val="20"/>
          <w:rtl w:val="0"/>
        </w:rPr>
        <w:t xml:space="preserve">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r>
        <w:rPr>
          <w:rtl w:val="0"/>
        </w:rPr>
      </w:r>
    </w:p>
    <w:p w:rsidR="00000000" w:rsidDel="00000000" w:rsidP="00000000" w:rsidRDefault="00000000" w:rsidRPr="00000000" w14:paraId="00000091">
      <w:pPr>
        <w:spacing w:before="200" w:lineRule="auto"/>
        <w:ind w:firstLine="0"/>
        <w:jc w:val="center"/>
        <w:rPr/>
      </w:pPr>
      <w:r>
        <w:rPr/>
        <w:drawing>
          <wp:inline distB="0" distT="0" distL="114300" distR="114300">
            <wp:extent cx="3417090" cy="213315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17090" cy="2133154"/>
                    </a:xfrm>
                    <a:prstGeom prst="rect"/>
                    <a:ln/>
                  </pic:spPr>
                </pic:pic>
              </a:graphicData>
            </a:graphic>
          </wp:inline>
        </w:drawing>
      </w:r>
      <w:r>
        <w:rPr>
          <w:rtl w:val="0"/>
        </w:rPr>
      </w:r>
    </w:p>
    <w:p w:rsidR="00000000" w:rsidDel="00000000" w:rsidP="00000000" w:rsidRDefault="00000000" w:rsidRPr="00000000" w14:paraId="00000092">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3">
      <w:pPr>
        <w:spacing w:after="240" w:lineRule="auto"/>
        <w:ind w:firstLine="0"/>
        <w:jc w:val="left"/>
        <w:rPr/>
      </w:pPr>
      <w:r>
        <w:rPr>
          <w:b w:val="1"/>
          <w:bCs w:val="1"/>
          <w:sz w:val="20"/>
          <w:szCs w:val="20"/>
          <w:rtl w:val="0"/>
        </w:rPr>
        <w:t xml:space="preserve">Figura 4.</w:t>
      </w:r>
      <w:r>
        <w:rPr>
          <w:sz w:val="20"/>
          <w:szCs w:val="20"/>
          <w:rtl w:val="0"/>
        </w:rPr>
        <w:t xml:space="preserve"> Seis variantes de BRCA1 confirmadas patogênicas no ClinVar, cada uma sobre sua estrutura real, com o veredito do ClinVar (selo verde) e a chamada do modelo (selo dourado) —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418119"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418119"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rsidR="00000000" w:rsidDel="00000000" w:rsidP="00000000" w:rsidRDefault="00000000" w:rsidRPr="00000000" w14:paraId="00000097">
      <w:pPr>
        <w:spacing w:after="240" w:lineRule="auto"/>
        <w:ind w:firstLine="0"/>
        <w:jc w:val="left"/>
        <w:rPr/>
      </w:pPr>
      <w:r>
        <w:rPr>
          <w:b w:val="1"/>
          <w:bCs w:val="1"/>
          <w:sz w:val="20"/>
          <w:szCs w:val="20"/>
          <w:rtl w:val="0"/>
        </w:rPr>
        <w:t xml:space="preserve">Figura 5.</w:t>
      </w:r>
      <w:r>
        <w:rPr>
          <w:sz w:val="20"/>
          <w:szCs w:val="20"/>
          <w:rtl w:val="0"/>
        </w:rPr>
        <w:t xml:space="preserve">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r>
        <w:rPr>
          <w:rtl w:val="0"/>
        </w:rPr>
      </w:r>
    </w:p>
    <w:p w:rsidR="00000000" w:rsidDel="00000000" w:rsidP="00000000" w:rsidRDefault="00000000" w:rsidRPr="00000000" w14:paraId="00000098">
      <w:pPr>
        <w:spacing w:before="200" w:lineRule="auto"/>
        <w:ind w:firstLine="0"/>
        <w:jc w:val="center"/>
        <w:rPr/>
      </w:pPr>
      <w:r>
        <w:rPr/>
        <w:drawing>
          <wp:inline distB="0" distT="0" distL="114300" distR="114300">
            <wp:extent cx="4389120" cy="3035453"/>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389120" cy="3035453"/>
                    </a:xfrm>
                    <a:prstGeom prst="rect"/>
                    <a:ln/>
                  </pic:spPr>
                </pic:pic>
              </a:graphicData>
            </a:graphic>
          </wp:inline>
        </w:drawing>
      </w:r>
      <w:r>
        <w:rPr>
          <w:rtl w:val="0"/>
        </w:rPr>
      </w:r>
    </w:p>
    <w:p w:rsidR="00000000" w:rsidDel="00000000" w:rsidP="00000000" w:rsidRDefault="00000000" w:rsidRPr="00000000" w14:paraId="0000009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objeção honesta: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 xml:space="preserve">Tabela 4.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 xml:space="preserve">Tabela 5.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 xml:space="preserve">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 xml:space="preserve">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 xml:space="preserve">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 xml:space="preserve">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 xml:space="preserve">Vazamento a favor de terceiros: a comparação honesta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 xml:space="preserve">Figura 6.</w:t>
      </w:r>
      <w:r>
        <w:rPr>
          <w:sz w:val="20"/>
          <w:szCs w:val="20"/>
          <w:rtl w:val="0"/>
        </w:rPr>
        <w:t xml:space="preserve"> Comparação honesta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572000"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572000"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 xml:space="preserve">Tabela 6. Comparação honesta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 xml:space="preserve">—</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 264 VUS e 192 conflitantes (Tabela 7) —,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 xml:space="preserve">Figura 7.</w:t>
      </w:r>
      <w:r>
        <w:rPr>
          <w:sz w:val="20"/>
          <w:szCs w:val="20"/>
          <w:rtl w:val="0"/>
        </w:rPr>
        <w:t xml:space="preserve"> Complemento ao AlphaMissense —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5384183"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4183"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 xml:space="preserve">Tabela 7.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rsidR="00000000" w:rsidDel="00000000" w:rsidP="00000000" w:rsidRDefault="00000000" w:rsidRPr="00000000" w14:paraId="00000114">
      <w:pPr>
        <w:spacing w:after="240" w:lineRule="auto"/>
        <w:ind w:firstLine="0"/>
        <w:jc w:val="left"/>
        <w:rPr/>
      </w:pPr>
      <w:r>
        <w:rPr>
          <w:b/>
          <w:sz w:val="20"/>
        </w:rPr>
        <w:t xml:space="preserve">Figura 8.</w:t>
      </w:r>
      <w:r>
        <w:rPr>
          <w:sz w:val="20"/>
        </w:rPr>
        <w:t xml:space="preserve">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 (Material Suplementar, Tabela S9 e Figura S9).</w:t>
      </w:r>
    </w:p>
    <w:p w:rsidR="00000000" w:rsidDel="00000000" w:rsidP="00000000" w:rsidRDefault="00000000" w:rsidRPr="00000000" w14:paraId="00000115">
      <w:pPr>
        <w:spacing w:before="200" w:lineRule="auto"/>
        <w:ind w:firstLine="0"/>
        <w:jc w:val="center"/>
        <w:rPr/>
      </w:pPr>
      <w:r>
        <w:rPr/>
        <w:drawing>
          <wp:inline distB="0" distT="0" distL="114300" distR="114300">
            <wp:extent cx="4389120" cy="2449956"/>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389120" cy="2449956"/>
                    </a:xfrm>
                    <a:prstGeom prst="rect"/>
                    <a:ln/>
                  </pic:spPr>
                </pic:pic>
              </a:graphicData>
            </a:graphic>
          </wp:inline>
        </w:drawing>
      </w:r>
      <w:r>
        <w:rPr>
          <w:rtl w:val="0"/>
        </w:rPr>
      </w:r>
    </w:p>
    <w:p w:rsidR="00000000" w:rsidDel="00000000" w:rsidP="00000000" w:rsidRDefault="00000000" w:rsidRPr="00000000" w14:paraId="00000116">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7">
      <w:pPr>
        <w:spacing w:after="240" w:lineRule="auto"/>
        <w:ind w:firstLine="0"/>
        <w:jc w:val="center"/>
        <w:rPr/>
      </w:pPr>
      <w:r>
        <w:rPr>
          <w:b w:val="1"/>
          <w:bCs w:val="1"/>
          <w:sz w:val="20"/>
          <w:szCs w:val="20"/>
          <w:rtl w:val="0"/>
        </w:rPr>
        <w:t xml:space="preserve">Figura 9.</w:t>
      </w:r>
      <w:r>
        <w:rPr>
          <w:sz w:val="20"/>
          <w:szCs w:val="20"/>
          <w:rtl w:val="0"/>
        </w:rPr>
        <w:t xml:space="preserve"> Lacuna de resolução clínica entre ancestralidades (gnomAD) e a contribuição do modelo para reduzi-la equitativamente.</w:t>
      </w:r>
      <w:r>
        <w:rPr>
          <w:rtl w:val="0"/>
        </w:rPr>
      </w:r>
    </w:p>
    <w:p w:rsidR="00000000" w:rsidDel="00000000" w:rsidP="00000000" w:rsidRDefault="00000000" w:rsidRPr="00000000" w14:paraId="00000118">
      <w:pPr>
        <w:spacing w:before="200" w:lineRule="auto"/>
        <w:ind w:firstLine="0"/>
        <w:jc w:val="center"/>
        <w:rPr/>
      </w:pPr>
      <w:r>
        <w:rPr/>
        <w:drawing>
          <wp:inline distB="0" distT="0" distL="114300" distR="114300">
            <wp:extent cx="5684048" cy="2384989"/>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684048" cy="2384989"/>
                    </a:xfrm>
                    <a:prstGeom prst="rect"/>
                    <a:ln/>
                  </pic:spPr>
                </pic:pic>
              </a:graphicData>
            </a:graphic>
          </wp:inline>
        </w:drawing>
      </w:r>
      <w:r>
        <w:rPr>
          <w:rtl w:val="0"/>
        </w:rPr>
      </w:r>
    </w:p>
    <w:p w:rsidR="00000000" w:rsidDel="00000000" w:rsidP="00000000" w:rsidRDefault="00000000" w:rsidRPr="00000000" w14:paraId="0000011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B">
      <w:pPr>
        <w:spacing w:after="240" w:lineRule="auto"/>
        <w:ind w:firstLine="0"/>
        <w:jc w:val="left"/>
        <w:rPr/>
      </w:pPr>
      <w:r>
        <w:rPr>
          <w:rtl w:val="0"/>
        </w:rPr>
      </w:r>
    </w:p>
    <w:p w:rsidR="00000000" w:rsidDel="00000000" w:rsidP="00000000" w:rsidRDefault="00000000" w:rsidRPr="00000000" w14:paraId="0000011C">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 xml:space="preserve">Tabela 8.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 xml:space="preserve">Figura 10.</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572000"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572000"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apenas o CADD (0,963; n = 42) permanece à frente nesse subconjunto, com IC sobrepostos e sem diferença significativa (15 positivos; corroboração direta, não prova).</w:t>
      </w:r>
    </w:p>
    <w:p w:rsidR="00000000" w:rsidDel="00000000" w:rsidP="00000000" w:rsidRDefault="00000000" w:rsidRPr="00000000" w14:paraId="00000136">
      <w:pPr>
        <w:spacing w:after="240" w:lineRule="auto"/>
        <w:ind w:firstLine="0"/>
        <w:jc w:val="left"/>
        <w:rPr/>
      </w:pPr>
      <w:r>
        <w:rPr>
          <w:b w:val="1"/>
          <w:bCs w:val="1"/>
          <w:sz w:val="20"/>
          <w:szCs w:val="20"/>
          <w:rtl w:val="0"/>
        </w:rPr>
        <w:t xml:space="preserve">Figura 11.</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 apenas o CADD (0,963) fica numericamente à frente, sem significância.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6009323"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09323"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Com rótulos reais do ClinVar, a receita completa generalizou ainda para von Hippel-Lindau (VHL 0,97), Lynch (MSH2 0,93; MLH1 0,75; MSH6 0,81) e MEN2 (RET 0,81) — o ESM-2 como o sinal transferível que eleva todos os genes (Figura S12b).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 xml:space="preserve">Discussão: honestidade metodológica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o que torna o trabalho reprodutível e auditável — e cada uma delas funciona como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não está no AUC bruto — comparação estruturalmente injusta —,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O escopo permanece centrado em variantes missense de BRCA1/BRCA2, com a receita completa (domínio + ESM-2) estendida — com dados reais do ClinVar — ao TP53, ao ATM e a von Hippel-Lindau, Lynch e MEN2; ainda assim, genes truncante-dominados (PALB2, CHEK2) têm missense definitivas insuficientes para conclusão. As fronteiras de domínio são cortes da literatura; verificou-se, porém, que uma característica contínua de distância ao domínio supera essa limitação, elevando a AUC externa a 0,918 e o modelo acessível sem GPU a 0,874 —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 usando os próprios mapas funcionais como rótulos —,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 xml:space="preserve">O acesso à interpretação genética é desigual no Brasil (ACHATZ et al., 2020; PALMERO et al., 2007; FERNANDES et al., 2019; LASTA; GROTO; BRANDALIZE, 2023; RIBEIRO et al., 2025; NORONHA et al., 2026). É exatamente nesse ponto de convergência entre inteligência artificial e saúde — eixo temático desta edição do Prêmio Jovem Cientista, dedicada à "Inteligência Artificial para o Bem Comum" —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(só o CADD ficou à frente, sem significância na amostra pequena); o método ainda generalizou, com dados reais, para o TP53, von Hippel-Lindau, Lynch e MEN2 — muito além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