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Calibri" w:cs="Calibri" w:eastAsia="Calibri" w:hAnsi="Calibri"/>
          <w:b/>
          <w:bCs/>
          <w:color w:val="0F766E"/>
          <w:sz w:val="52"/>
          <w:szCs w:val="52"/>
        </w:rPr>
        <w:t xml:space="preserve">AGUA CLARA RD</w:t>
      </w:r>
    </w:p>
    <w:p>
      <w:pPr>
        <w:pBdr>
          <w:bottom w:val="single" w:color="0F766E" w:sz="8" w:space="8"/>
        </w:pBdr>
        <w:spacing w:after="200"/>
        <w:jc w:val="center"/>
      </w:pPr>
      <w:r>
        <w:rPr>
          <w:rFonts w:ascii="Calibri" w:cs="Calibri" w:eastAsia="Calibri" w:hAnsi="Calibri"/>
          <w:color w:val="444444"/>
          <w:sz w:val="26"/>
          <w:szCs w:val="26"/>
        </w:rPr>
        <w:t xml:space="preserve">Plataforma ciudadana de reporte y seguimiento de averías de agua</w:t>
      </w:r>
    </w:p>
    <w:p>
      <w:pPr>
        <w:spacing w:after="120" w:before="60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Informe de Capturas y Evidencias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Proyecto académico · República Dominicana</w:t>
      </w:r>
    </w:p>
    <w:p>
      <w:pPr>
        <w:spacing w:before="18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Octubre de 2026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presente documento recopila las capturas de pantalla que evidencian el funcionamiento de Agua Clara RD, una propuesta académica de plataforma web orientada a que los ciudadanos de la República Dominicana puedan reportar averías relacionadas con el servicio de agua y darles seguimiento desde un solo lugar.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Cada captura se acompaña de una explicación que describe lo que se observa en pantalla, su función dentro del sistema y la evidencia que aporta al proyecto.</w:t>
      </w:r>
    </w:p>
    <w:p>
      <w:pPr>
        <w:pStyle w:val="Heading1"/>
      </w:pPr>
      <w:r>
        <w:t xml:space="preserve">2. Objetivo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Documentar, mediante evidencia visual y descriptiva, las principales pantallas y funcionalidades de la plataforma Agua Clara RD, demostrando que cumple con el flujo previsto: reportar un problema, conservar un código de seguimiento y consultar el estado del reporte.</w:t>
      </w:r>
    </w:p>
    <w:p>
      <w:pPr>
        <w:pStyle w:val="Heading1"/>
      </w:pPr>
      <w:r>
        <w:t xml:space="preserve">3. Descripción general del sistema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Agua Clara RD es un prototipo con datos de ejemplo. Sus módulos principales, visibles en la barra de navegación, son: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Inicio: </w:t>
      </w:r>
      <w:r>
        <w:rPr>
          <w:rFonts w:ascii="Calibri" w:cs="Calibri" w:eastAsia="Calibri" w:hAnsi="Calibri"/>
          <w:sz w:val="22"/>
          <w:szCs w:val="22"/>
        </w:rPr>
        <w:t xml:space="preserve">presentación del proyecto y explicación del flujo de uso en tres pasos.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Reportar: </w:t>
      </w:r>
      <w:r>
        <w:rPr>
          <w:rFonts w:ascii="Calibri" w:cs="Calibri" w:eastAsia="Calibri" w:hAnsi="Calibri"/>
          <w:sz w:val="22"/>
          <w:szCs w:val="22"/>
        </w:rPr>
        <w:t xml:space="preserve">formulario para registrar una avería con datos de ubicación, tipo de problema y descripción.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Consultar: </w:t>
      </w:r>
      <w:r>
        <w:rPr>
          <w:rFonts w:ascii="Calibri" w:cs="Calibri" w:eastAsia="Calibri" w:hAnsi="Calibri"/>
          <w:sz w:val="22"/>
          <w:szCs w:val="22"/>
        </w:rPr>
        <w:t xml:space="preserve">búsqueda del estado de un reporte mediante su código.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Consejos: </w:t>
      </w:r>
      <w:r>
        <w:rPr>
          <w:rFonts w:ascii="Calibri" w:cs="Calibri" w:eastAsia="Calibri" w:hAnsi="Calibri"/>
          <w:sz w:val="22"/>
          <w:szCs w:val="22"/>
        </w:rPr>
        <w:t xml:space="preserve">recomendaciones para el cuidado del agua y enlaces a fuentes oficiales.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Acceso: </w:t>
      </w:r>
      <w:r>
        <w:rPr>
          <w:rFonts w:ascii="Calibri" w:cs="Calibri" w:eastAsia="Calibri" w:hAnsi="Calibri"/>
          <w:sz w:val="22"/>
          <w:szCs w:val="22"/>
        </w:rPr>
        <w:t xml:space="preserve">inicio de sesión y registro para el equipo, con permisos según el rol.</w:t>
      </w:r>
    </w:p>
    <w:p>
      <w:pPr>
        <w:spacing w:after="140" w:before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Cabe señalar que, al tratarse de un proyecto académico, el sistema opera con datos de demostración y no está conectado a instituciones oficiales; así lo indican los avisos visibles en las propias pantallas.</w:t>
      </w:r>
    </w:p>
    <w:p>
      <w:r>
        <w:br w:type="page"/>
      </w:r>
    </w:p>
    <w:p>
      <w:pPr>
        <w:pStyle w:val="Heading1"/>
      </w:pPr>
      <w:r>
        <w:t xml:space="preserve">4. Capturas y evidencias</w:t>
      </w:r>
    </w:p>
    <w:p>
      <w:pPr>
        <w:pStyle w:val="Heading2"/>
      </w:pPr>
      <w:r>
        <w:t xml:space="preserve">4.1 Página de inicio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4953000" cy="2781300"/>
            <wp:effectExtent t="0" r="0" b="0" l="0"/>
            <wp:docPr id="1" name="fig1" descr="Captura 1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Figura 1. Página de inicio de Agua Clara RD.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Esta captura muestra la pantalla principal de la plataforma. En la parte superior se encuentra la barra de navegación con las secciones Inicio, Reportar, Consultar, Consejos y Acceso, además de un botón de acción rápida «Reportar». Debajo se presenta un aviso que identifica el sitio como «Proyecto académico · Datos de ejemplo».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contenido central incluye el mensaje «Tu barrio merece agua y respuestas», acompañado de los botones «Reportar una avería» y «Consultar reporte». Más abajo, la sección «Reporta, guarda y consulta» explica el flujo de uso en tres pasos: (1) describir el problema indicando municipio, sector y tipo de avería; (2) guardar el código del reporte; y (3) consultar el estado del reporte. Finalmente, un recuadro dirigido al personal indica que el acceso para administradores, agentes y supervisores se realiza desde la sección Acceso, y que cada rol visualiza únicamente lo que le corresponde.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Qué demuestra: </w:t>
      </w:r>
      <w:r>
        <w:rPr>
          <w:rFonts w:ascii="Calibri" w:cs="Calibri" w:eastAsia="Calibri" w:hAnsi="Calibri"/>
          <w:sz w:val="22"/>
          <w:szCs w:val="22"/>
        </w:rPr>
        <w:t xml:space="preserve">Evidencia la presentación general del sistema, su navegación y el flujo principal de uso.</w:t>
      </w:r>
    </w:p>
    <w:p>
      <w:pPr>
        <w:pStyle w:val="Heading2"/>
      </w:pPr>
      <w:r>
        <w:t xml:space="preserve">4.2 Formulario para reportar una avería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4953000" cy="2781300"/>
            <wp:effectExtent t="0" r="0" b="0" l="0"/>
            <wp:docPr id="2" name="fig2" descr="Captura 2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Figura 2. Formulario «Cuéntanos qué está pasando».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Esta pantalla corresponde al módulo de registro de reportes ciudadanos. El formulario indica que los campos marcados con asterisco (*) son obligatorios: Municipio, Sector, Tipo de problema y Descripción. El tipo de problema se selecciona entre tres opciones: «Falta de agua», «Fuga en vía pública» y «Tubería dañada». También se incluyen campos opcionales: fecha desde la cual se observa el problema, fotografía y datos de contacto (nombre y teléfono).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En el panel lateral se ofrecen recomendaciones para elaborar un buen reporte (indicar dónde ocurre, explicar lo observado y añadir una foto) y una nota sobre protección de datos personales, que advierte evitar direcciones exactas o datos de terceros. Al pie del formulario se aclara que el botón «Enviar reporte de prueba» es una demostración y que no se envía información a ninguna institución.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Qué demuestra: </w:t>
      </w:r>
      <w:r>
        <w:rPr>
          <w:rFonts w:ascii="Calibri" w:cs="Calibri" w:eastAsia="Calibri" w:hAnsi="Calibri"/>
          <w:sz w:val="22"/>
          <w:szCs w:val="22"/>
        </w:rPr>
        <w:t xml:space="preserve">Evidencia la captura estructurada de datos, la validación de campos obligatorios y el cuidado de la privacidad del usuario.</w:t>
      </w:r>
    </w:p>
    <w:p>
      <w:pPr>
        <w:pStyle w:val="Heading2"/>
      </w:pPr>
      <w:r>
        <w:t xml:space="preserve">4.3 Consulta de reportes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4953000" cy="2314575"/>
            <wp:effectExtent t="0" r="0" b="0" l="0"/>
            <wp:docPr id="3" name="fig3" descr="Captura 3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Figura 3. Pantalla «Dale seguimiento a tu reporte».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Esta captura muestra el módulo de seguimiento. El usuario introduce el código del reporte que recibió al completar el formulario y presiona «Consultar reporte». En esta demostración se utiliza el código de ejemplo DEMO-001, y existe además un botón «Probar código incorrecto» que permite comprobar el comportamiento del sistema ante una entrada no válida.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recuadro informativo señala que no es necesario crear una cuenta para explorar la propuesta, y una nota al pie aclara que solo se consulta un reporte de ejemplo, sin conexión con sistemas oficiales.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Qué demuestra: </w:t>
      </w:r>
      <w:r>
        <w:rPr>
          <w:rFonts w:ascii="Calibri" w:cs="Calibri" w:eastAsia="Calibri" w:hAnsi="Calibri"/>
          <w:sz w:val="22"/>
          <w:szCs w:val="22"/>
        </w:rPr>
        <w:t xml:space="preserve">Evidencia que el ciudadano puede dar seguimiento a su reporte sin registrarse, usando únicamente su código.</w:t>
      </w:r>
    </w:p>
    <w:p>
      <w:pPr>
        <w:pStyle w:val="Heading2"/>
      </w:pPr>
      <w:r>
        <w:t xml:space="preserve">4.4 Consejos y fuentes oficiales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4953000" cy="2333625"/>
            <wp:effectExtent t="0" r="0" b="0" l="0"/>
            <wp:docPr id="4" name="fig4" descr="Captura 4" titl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Figura 4. Sección «Pequeños hábitos, menos desperdicio».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Esta sección tiene un enfoque educativo y presenta cuatro recomendaciones para el cuidado del agua: cerrar el grifo mientras no se usa, revisar fugas en el hogar, describir con claridad los problemas al reportarlos y consultar los avisos oficiales del prestador del servicio.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Además, se incluye un bloque de enlaces a fuentes oficiales (CAASD e INAPA). El texto aclara que el proyecto es independiente y que el usuario debe consultar al prestador que corresponda a su zona.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Qué demuestra: </w:t>
      </w:r>
      <w:r>
        <w:rPr>
          <w:rFonts w:ascii="Calibri" w:cs="Calibri" w:eastAsia="Calibri" w:hAnsi="Calibri"/>
          <w:sz w:val="22"/>
          <w:szCs w:val="22"/>
        </w:rPr>
        <w:t xml:space="preserve">Evidencia el componente de sensibilización y la referencia a las instituciones responsables del servicio.</w:t>
      </w:r>
    </w:p>
    <w:p>
      <w:pPr>
        <w:pStyle w:val="Heading2"/>
      </w:pPr>
      <w:r>
        <w:t xml:space="preserve">4.5 Acceso del equipo y registro de usuarios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4953000" cy="2352675"/>
            <wp:effectExtent t="0" r="0" b="0" l="0"/>
            <wp:docPr id="5" name="fig5" descr="Captura 5" titl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Figura 5. Pantalla «Acceso del equipo».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Esta pantalla corresponde al módulo de autenticación (HU-1.1) y de registro de usuarios (HU-1.2). Permite iniciar sesión con correo y contraseña, con la opción «Olvidé mi contraseña». Se muestran cuentas de demostración para los roles Super Administrador, Administrador, Agente Inmobiliario, Arquitecto, Ingeniero, Cliente y Supervisor, que facilitan la prueba del sistema al completar automáticamente las credenciales.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En la parte inferior se encuentra el formulario «Crear cuenta», que solicita nombre completo, correo electrónico, teléfono y contraseña (mínimo de 8 caracteres). Según se indica, las cuentas nuevas se crean con el rol Cliente y el administrador puede modificarlo posteriormente.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Qué demuestra: </w:t>
      </w:r>
      <w:r>
        <w:rPr>
          <w:rFonts w:ascii="Calibri" w:cs="Calibri" w:eastAsia="Calibri" w:hAnsi="Calibri"/>
          <w:sz w:val="22"/>
          <w:szCs w:val="22"/>
        </w:rPr>
        <w:t xml:space="preserve">Evidencia el control de acceso basado en roles y el proceso de registro de nuevos usuarios.</w:t>
      </w:r>
    </w:p>
    <w:p>
      <w:pPr>
        <w:pStyle w:val="Heading2"/>
      </w:pPr>
      <w:r>
        <w:t xml:space="preserve">4.6 Formulario de reporte (captura complementaria)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4953000" cy="2352675"/>
            <wp:effectExtent t="0" r="0" b="0" l="0"/>
            <wp:docPr id="6" name="fig6" descr="Captura 6" titl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Figura 6. Formulario de reporte con tipo de problema «Fuga en vía pública» seleccionado.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Esta captura complementa la Figura 2 y muestra el mismo formulario con la opción «Fuga en vía pública» seleccionada como tipo de problema, resaltada visualmente. Se observa también que el campo de fecha tiene el valor 02/10/2026 y que el campo de fotografía admite la selección de un archivo, aclarando que solo se registra el nombre local y que el archivo no se envía.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Qué demuestra: </w:t>
      </w:r>
      <w:r>
        <w:rPr>
          <w:rFonts w:ascii="Calibri" w:cs="Calibri" w:eastAsia="Calibri" w:hAnsi="Calibri"/>
          <w:sz w:val="22"/>
          <w:szCs w:val="22"/>
        </w:rPr>
        <w:t xml:space="preserve">Evidencia la interacción del usuario con los controles del formulario y la retroalimentación visual de la selección.</w:t>
      </w:r>
    </w:p>
    <w:p>
      <w:pPr>
        <w:pStyle w:val="Heading1"/>
      </w:pPr>
      <w:r>
        <w:t xml:space="preserve">5. Conclusiones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Las capturas presentadas confirman que la plataforma Agua Clara RD cuenta con los elementos esenciales de su propuesta: una página de inicio clara, un formulario de reporte con campos obligatorios y recomendaciones de privacidad, un mecanismo de consulta por código sin necesidad de registro, contenido educativo con referencias a fuentes oficiales y un acceso diferenciado por roles para el equipo.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En conjunto, la evidencia demuestra la coherencia del flujo de usuario y el cuidado en aspectos como la protección de datos personales y la transparencia sobre el carácter demostrativo del proyecto.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Agua Clara RD · Capturas y evidencias · Página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Calibri" w:cs="Calibri" w:eastAsia="Calibri" w:hAnsi="Calibri"/>
      <w:b/>
      <w:bCs/>
      <w:color w:val="0F766E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1F2937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fb313a964f31414fd507752fc80548e3a1a63def.png"/><Relationship Id="rId9" Type="http://schemas.openxmlformats.org/officeDocument/2006/relationships/image" Target="media/8679790a6c6f1adacc6b4f92fab3429265b3a2cc.png"/><Relationship Id="rId10" Type="http://schemas.openxmlformats.org/officeDocument/2006/relationships/image" Target="media/e185ee920df90b9bc629dbf917df8c7c757bda69.png"/><Relationship Id="rId11" Type="http://schemas.openxmlformats.org/officeDocument/2006/relationships/image" Target="media/339abf4ff1ad54fa61f59baa1b56e7b72e5aea93.png"/><Relationship Id="rId12" Type="http://schemas.openxmlformats.org/officeDocument/2006/relationships/image" Target="media/3e129aff116877f3576a63d759d5d57aeb4d6fc2.png"/><Relationship Id="rId13" Type="http://schemas.openxmlformats.org/officeDocument/2006/relationships/image" Target="media/e3ac9a87039f8f8a28aa26583f98d1c861669e9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2026-10-26T02:30:59.134Z</dcterms:created>
  <dcterms:modified xsi:type="dcterms:W3CDTF">2026-10-26T02:30:59.134Z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