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Part 2</w:t>
      </w:r>
    </w:p>
    <w:p>
      <w:pPr>
        <w:spacing w:after="120"/>
      </w:pPr>
      <w:r>
        <w:rPr>
          <w:sz w:val="22"/>
          <w:szCs w:val="22"/>
        </w:rPr>
        <w:t xml:space="preserve">This guide covers creating the fortnightly pay run in Employment Hero. It is the second of eight parts,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3a: Reconciling Casual Timesheets, the first of three guides covering reconciliation. Parts 3b and 3c cover salaried staff and the cases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2026-09-03T11:37:46.245Z</dcterms:created>
  <dcterms:modified xsi:type="dcterms:W3CDTF">2026-09-03T11:37:46.245Z</dcterms:modified>
</cp:coreProperties>
</file>

<file path=docProps/custom.xml><?xml version="1.0" encoding="utf-8"?>
<Properties xmlns="http://schemas.openxmlformats.org/officeDocument/2006/custom-properties" xmlns:vt="http://schemas.openxmlformats.org/officeDocument/2006/docPropsVTypes"/>
</file>