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4 — Reconciling Timesheets (continued)</w:t>
      </w:r>
    </w:p>
    <w:p>
      <w:pPr>
        <w:spacing w:after="480" w:before="160"/>
      </w:pPr>
      <w:r>
        <w:rPr>
          <w:color w:val="595959"/>
          <w:sz w:val="22"/>
          <w:szCs w:val="22"/>
        </w:rPr>
        <w:t xml:space="preserve">Corporate Technology Services  ·  Employment Hero Payroll  ·  Salaried employee scenario</w:t>
      </w:r>
    </w:p>
    <w:p>
      <w:pPr>
        <w:pStyle w:val="Heading1"/>
        <w:spacing w:after="160" w:before="360"/>
      </w:pPr>
      <w:r>
        <w:rPr>
          <w:b/>
          <w:bCs/>
          <w:color w:val="1F4E79"/>
          <w:sz w:val="28"/>
          <w:szCs w:val="28"/>
        </w:rPr>
        <w:t xml:space="preserve">About this guide</w:t>
      </w:r>
    </w:p>
    <w:p>
      <w:pPr>
        <w:spacing w:after="120"/>
      </w:pPr>
      <w:r>
        <w:rPr>
          <w:sz w:val="22"/>
          <w:szCs w:val="22"/>
        </w:rPr>
        <w:t xml:space="preserve">This guide continues the reconciliation work covered by Parts 3a, 3b and 3c — casuals, salaried staff, and the employees needing manual handling. It follows on from Part 3b in particular, working through a salaried employee whose overtime category was triggered automatically when it should not have been.</w:t>
      </w:r>
    </w:p>
    <w:p>
      <w:pPr>
        <w:spacing w:after="120"/>
      </w:pPr>
      <w:r>
        <w:rPr>
          <w:sz w:val="22"/>
          <w:szCs w:val="22"/>
        </w:rPr>
        <w:t xml:space="preserve">The scenario is worth understanding even if it is not on your current pay run, because the underlying trap — losing the notes when you change a category — applies to every correction you make in a pay run.</w:t>
      </w:r>
    </w:p>
    <w:p>
      <w:pPr>
        <w:pStyle w:val="Heading1"/>
        <w:spacing w:after="160" w:before="360"/>
      </w:pPr>
      <w:r>
        <w:rPr>
          <w:b/>
          <w:bCs/>
          <w:color w:val="1F4E79"/>
          <w:sz w:val="28"/>
          <w:szCs w:val="28"/>
        </w:rPr>
        <w:t xml:space="preserve">Step 1  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 it is not a blanket rule for everyone the break condition flags.</w:t>
      </w:r>
    </w:p>
    <w:p>
      <w:pPr>
        <w:pStyle w:val="Heading1"/>
        <w:spacing w:after="160" w:before="360"/>
      </w:pPr>
      <w:r>
        <w:rPr>
          <w:b/>
          <w:bCs/>
          <w:color w:val="1F4E79"/>
          <w:sz w:val="28"/>
          <w:szCs w:val="28"/>
        </w:rPr>
        <w:t xml:space="preserve">Step 2  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1"/>
        <w:spacing w:after="160" w:before="360"/>
      </w:pPr>
      <w:r>
        <w:rPr>
          <w:b/>
          <w:bCs/>
          <w:color w:val="1F4E79"/>
          <w:sz w:val="28"/>
          <w:szCs w:val="28"/>
        </w:rPr>
        <w:t xml:space="preserve">Step 3  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 80 for a full-time employee. If you cannot reconcile to that figure, stop and investigate rather than adjusting a number to make it balance.</w:t>
            </w:r>
          </w:p>
        </w:tc>
      </w:tr>
    </w:tbl>
    <w:p>
      <w:pPr>
        <w:spacing w:after="200"/>
      </w:pPr>
    </w:p>
    <w:p>
      <w:pPr>
        <w:pStyle w:val="Heading1"/>
        <w:spacing w:after="160" w:before="360"/>
      </w:pPr>
      <w:r>
        <w:rPr>
          <w:b/>
          <w:bCs/>
          <w:color w:val="1F4E79"/>
          <w:sz w:val="28"/>
          <w:szCs w:val="28"/>
        </w:rPr>
        <w:t xml:space="preserve">Step 4  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1"/>
        <w:spacing w:after="160" w:before="360"/>
      </w:pPr>
      <w:r>
        <w:rPr>
          <w:b/>
          <w:bCs/>
          <w:color w:val="1F4E79"/>
          <w:sz w:val="28"/>
          <w:szCs w:val="28"/>
        </w:rPr>
        <w:t xml:space="preserve">Step 5  Check pay run inclusions</w:t>
      </w:r>
    </w:p>
    <w:p>
      <w:pPr>
        <w:spacing w:after="120"/>
      </w:pPr>
      <w:r>
        <w:rPr>
          <w:sz w:val="22"/>
          <w:szCs w:val="22"/>
        </w:rPr>
        <w:t xml:space="preserve">Finally, check the employee's pay run inclusion settings for any standing arrangements —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For each employee flagged with an out-of-the-ordinary condition:</w:t>
      </w:r>
    </w:p>
    <w:p>
      <w:pPr>
        <w:pStyle w:val="ListParagraph"/>
        <w:numPr>
          <w:ilvl w:val="0"/>
          <w:numId w:val="2"/>
        </w:numPr>
        <w:spacing w:after="80"/>
      </w:pPr>
      <w:r>
        <w:rPr>
          <w:sz w:val="22"/>
          <w:szCs w:val="22"/>
        </w:rPr>
        <w:t xml:space="preserve">The employment type has been confirmed before applying any correction</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Every incorrectly triggered row has been returned to Permanent Ordinary Hours</w:t>
      </w:r>
    </w:p>
    <w:p>
      <w:pPr>
        <w:pStyle w:val="ListParagraph"/>
        <w:numPr>
          <w:ilvl w:val="0"/>
          <w:numId w:val="2"/>
        </w:numPr>
        <w:spacing w:after="80"/>
      </w:pPr>
      <w:r>
        <w:rPr>
          <w:sz w:val="22"/>
          <w:szCs w:val="22"/>
        </w:rPr>
        <w:t xml:space="preserve">Total hours reconcile to the employee's contracted hours for the fortnight</w:t>
      </w:r>
    </w:p>
    <w:p>
      <w:pPr>
        <w:pStyle w:val="ListParagraph"/>
        <w:numPr>
          <w:ilvl w:val="0"/>
          <w:numId w:val="2"/>
        </w:numPr>
        <w:spacing w:after="80"/>
      </w:pPr>
      <w:r>
        <w:rPr>
          <w:sz w:val="22"/>
          <w:szCs w:val="22"/>
        </w:rPr>
        <w:t xml:space="preserve">Any leave taken during the period has been populated in the spreadsheet</w:t>
      </w:r>
    </w:p>
    <w:p>
      <w:pPr>
        <w:pStyle w:val="ListParagraph"/>
        <w:numPr>
          <w:ilvl w:val="0"/>
          <w:numId w:val="2"/>
        </w:numPr>
        <w:spacing w:after="80"/>
      </w:pPr>
      <w:r>
        <w:rPr>
          <w:sz w:val="22"/>
          <w:szCs w:val="22"/>
        </w:rPr>
        <w:t xml:space="preserve">Pay run inclusions are active only within their nominated dates</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5 — Reconciling &amp; Balancing the Pay Run.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4: Reconciling Timesheets (continued)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facde66dfa8ac681558633a08ad7b84465713a.png"/><Relationship Id="rId10" Type="http://schemas.openxmlformats.org/officeDocument/2006/relationships/image" Target="media/fe060fc571166180fcf9de73c3c28ee28e2d36bd.png"/><Relationship Id="rId11" Type="http://schemas.openxmlformats.org/officeDocument/2006/relationships/image" Target="media/c774905dd5d49e64a0e50627a5f7c84049bbd17a.png"/><Relationship Id="rId12" Type="http://schemas.openxmlformats.org/officeDocument/2006/relationships/image" Target="media/01d191fd49636cd85c89d8e36630fe1b9d45a95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4 — Reconciling Timesheets (continued)</dc:title>
  <dc:creator>Corporate Technology Services</dc:creator>
  <dc:description>Corporate Technology Services  ·  Employment Hero Payroll  ·  Salaried employee scenario</dc:description>
  <cp:lastModifiedBy>Un-named</cp:lastModifiedBy>
  <cp:revision>1</cp:revision>
  <dcterms:created xsi:type="dcterms:W3CDTF">2026-08-26T11:55:07.744Z</dcterms:created>
  <dcterms:modified xsi:type="dcterms:W3CDTF">2026-08-26T11:55:07.744Z</dcterms:modified>
</cp:coreProperties>
</file>

<file path=docProps/custom.xml><?xml version="1.0" encoding="utf-8"?>
<Properties xmlns="http://schemas.openxmlformats.org/officeDocument/2006/custom-properties" xmlns:vt="http://schemas.openxmlformats.org/officeDocument/2006/docPropsVTypes"/>
</file>